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FAE3" w14:textId="77777777" w:rsidR="003962B3" w:rsidRDefault="00E20E9B">
      <w:pPr>
        <w:rPr>
          <w:rFonts w:ascii="Arial" w:hAnsi="Arial" w:cs="Arial"/>
          <w:b/>
          <w:sz w:val="36"/>
          <w:lang w:val="en-US"/>
        </w:rPr>
      </w:pPr>
      <w:r>
        <w:rPr>
          <w:rFonts w:ascii="Arial" w:hAnsi="Arial" w:cs="Arial"/>
          <w:b/>
          <w:sz w:val="36"/>
          <w:lang w:val="en-US"/>
        </w:rPr>
        <w:t>Determining gross income</w:t>
      </w:r>
    </w:p>
    <w:p w14:paraId="2F398E4A" w14:textId="77777777" w:rsidR="003962B3" w:rsidRPr="008E46B0" w:rsidRDefault="003962B3">
      <w:pPr>
        <w:rPr>
          <w:rFonts w:ascii="Arial" w:hAnsi="Arial" w:cs="Arial"/>
          <w:b/>
          <w:sz w:val="10"/>
          <w:lang w:val="en-US"/>
        </w:rPr>
      </w:pPr>
    </w:p>
    <w:p w14:paraId="4E146CB9" w14:textId="77777777" w:rsidR="003962B3" w:rsidRDefault="00E20E9B">
      <w:r>
        <w:rPr>
          <w:rFonts w:ascii="Arial" w:hAnsi="Arial" w:cs="Arial"/>
          <w:sz w:val="22"/>
          <w:lang w:val="en-US"/>
        </w:rPr>
        <w:t>The treasurer of any Methodist entity (District, Circuit, Church) must, each year, determine the entity’s gross income for scrutiny purposes.  This should be done before preparing the accounts for the period.  The gross income will determine whether an audit or independent examination (IE) is required, as well as whether the receipts and payments option is available for the annual accounts.  These are the rules in England and Wales:</w:t>
      </w:r>
    </w:p>
    <w:p w14:paraId="009BC5C2" w14:textId="77777777" w:rsidR="003962B3" w:rsidRDefault="003962B3">
      <w:pPr>
        <w:rPr>
          <w:rFonts w:ascii="Arial" w:hAnsi="Arial" w:cs="Arial"/>
          <w:sz w:val="8"/>
          <w:lang w:val="en-US"/>
        </w:rPr>
      </w:pPr>
    </w:p>
    <w:p w14:paraId="72FE6111" w14:textId="77777777" w:rsidR="003962B3" w:rsidRDefault="00E20E9B">
      <w:pPr>
        <w:rPr>
          <w:rFonts w:ascii="Arial" w:hAnsi="Arial" w:cs="Arial"/>
          <w:sz w:val="22"/>
          <w:lang w:val="en-US"/>
        </w:rPr>
      </w:pPr>
      <w:r>
        <w:rPr>
          <w:rFonts w:ascii="Arial" w:hAnsi="Arial" w:cs="Arial"/>
          <w:sz w:val="22"/>
          <w:lang w:val="en-US"/>
        </w:rPr>
        <w:t>Gross income up to £25k:  IE required under Methodist standing orders (SO 012(3))</w:t>
      </w:r>
    </w:p>
    <w:p w14:paraId="23DEAEDB" w14:textId="77777777" w:rsidR="003962B3" w:rsidRDefault="003962B3">
      <w:pPr>
        <w:rPr>
          <w:rFonts w:ascii="Arial" w:hAnsi="Arial" w:cs="Arial"/>
          <w:sz w:val="8"/>
          <w:lang w:val="en-US"/>
        </w:rPr>
      </w:pPr>
    </w:p>
    <w:p w14:paraId="30E6D94E" w14:textId="77777777" w:rsidR="003962B3" w:rsidRDefault="00E20E9B">
      <w:pPr>
        <w:rPr>
          <w:rFonts w:ascii="Arial" w:hAnsi="Arial" w:cs="Arial"/>
          <w:sz w:val="22"/>
          <w:lang w:val="en-US"/>
        </w:rPr>
      </w:pPr>
      <w:r>
        <w:rPr>
          <w:rFonts w:ascii="Arial" w:hAnsi="Arial" w:cs="Arial"/>
          <w:sz w:val="22"/>
          <w:lang w:val="en-US"/>
        </w:rPr>
        <w:t>Gross income £25k to £250k:  IE required by Charity Commission (CC)</w:t>
      </w:r>
    </w:p>
    <w:p w14:paraId="232B65B2" w14:textId="77777777" w:rsidR="003962B3" w:rsidRDefault="003962B3">
      <w:pPr>
        <w:rPr>
          <w:rFonts w:ascii="Arial" w:hAnsi="Arial" w:cs="Arial"/>
          <w:sz w:val="10"/>
          <w:lang w:val="en-US"/>
        </w:rPr>
      </w:pPr>
    </w:p>
    <w:p w14:paraId="52E927C4" w14:textId="77777777" w:rsidR="003962B3" w:rsidRDefault="00E20E9B">
      <w:pPr>
        <w:rPr>
          <w:rFonts w:ascii="Arial" w:hAnsi="Arial" w:cs="Arial"/>
          <w:sz w:val="22"/>
          <w:lang w:val="en-US"/>
        </w:rPr>
      </w:pPr>
      <w:r>
        <w:rPr>
          <w:rFonts w:ascii="Arial" w:hAnsi="Arial" w:cs="Arial"/>
          <w:sz w:val="22"/>
          <w:lang w:val="en-US"/>
        </w:rPr>
        <w:t>Gross income over £250k:  IE by examiner with relevant qualification, required by CC</w:t>
      </w:r>
    </w:p>
    <w:p w14:paraId="55A77CB1" w14:textId="77777777" w:rsidR="003962B3" w:rsidRDefault="003962B3">
      <w:pPr>
        <w:rPr>
          <w:rFonts w:ascii="Arial" w:hAnsi="Arial" w:cs="Arial"/>
          <w:sz w:val="8"/>
          <w:lang w:val="en-US"/>
        </w:rPr>
      </w:pPr>
    </w:p>
    <w:p w14:paraId="1567811F" w14:textId="77777777" w:rsidR="003962B3" w:rsidRDefault="00E20E9B">
      <w:pPr>
        <w:rPr>
          <w:rFonts w:ascii="Arial" w:hAnsi="Arial" w:cs="Arial"/>
          <w:sz w:val="22"/>
          <w:lang w:val="en-US"/>
        </w:rPr>
      </w:pPr>
      <w:r>
        <w:rPr>
          <w:rFonts w:ascii="Arial" w:hAnsi="Arial" w:cs="Arial"/>
          <w:sz w:val="22"/>
          <w:lang w:val="en-US"/>
        </w:rPr>
        <w:t xml:space="preserve">Gross income over £250k up to £1m </w:t>
      </w:r>
      <w:r>
        <w:rPr>
          <w:rFonts w:ascii="Arial" w:hAnsi="Arial" w:cs="Arial"/>
          <w:i/>
          <w:sz w:val="22"/>
          <w:lang w:val="en-US"/>
        </w:rPr>
        <w:t>and</w:t>
      </w:r>
      <w:r>
        <w:rPr>
          <w:rFonts w:ascii="Arial" w:hAnsi="Arial" w:cs="Arial"/>
          <w:b/>
          <w:sz w:val="22"/>
          <w:lang w:val="en-US"/>
        </w:rPr>
        <w:t xml:space="preserve"> </w:t>
      </w:r>
      <w:r>
        <w:rPr>
          <w:rFonts w:ascii="Arial" w:hAnsi="Arial" w:cs="Arial"/>
          <w:sz w:val="22"/>
          <w:lang w:val="en-US"/>
        </w:rPr>
        <w:t>gross assets exceed £3.26m: audit required by CC</w:t>
      </w:r>
    </w:p>
    <w:p w14:paraId="3ED14E8A" w14:textId="77777777" w:rsidR="003962B3" w:rsidRDefault="003962B3">
      <w:pPr>
        <w:rPr>
          <w:rFonts w:ascii="Arial" w:hAnsi="Arial" w:cs="Arial"/>
          <w:sz w:val="8"/>
          <w:lang w:val="en-US"/>
        </w:rPr>
      </w:pPr>
    </w:p>
    <w:p w14:paraId="7EBEDA86" w14:textId="77777777" w:rsidR="003962B3" w:rsidRDefault="00E20E9B">
      <w:pPr>
        <w:rPr>
          <w:rFonts w:ascii="Arial" w:hAnsi="Arial" w:cs="Arial"/>
          <w:sz w:val="22"/>
          <w:lang w:val="en-US"/>
        </w:rPr>
      </w:pPr>
      <w:r>
        <w:rPr>
          <w:rFonts w:ascii="Arial" w:hAnsi="Arial" w:cs="Arial"/>
          <w:sz w:val="22"/>
          <w:lang w:val="en-US"/>
        </w:rPr>
        <w:t>Gross income over £1m:  audit required by CC</w:t>
      </w:r>
    </w:p>
    <w:p w14:paraId="7AD23113" w14:textId="77777777" w:rsidR="003962B3" w:rsidRPr="00892271" w:rsidRDefault="003962B3">
      <w:pPr>
        <w:rPr>
          <w:rFonts w:ascii="Arial" w:hAnsi="Arial" w:cs="Arial"/>
          <w:sz w:val="12"/>
          <w:lang w:val="en-US"/>
        </w:rPr>
      </w:pPr>
    </w:p>
    <w:p w14:paraId="6CB1A368" w14:textId="3696CEE8" w:rsidR="003962B3" w:rsidRDefault="00073C81">
      <w:r>
        <w:rPr>
          <w:rFonts w:ascii="Arial" w:hAnsi="Arial" w:cs="Arial"/>
          <w:sz w:val="22"/>
          <w:lang w:val="en-US"/>
        </w:rPr>
        <w:t>‘</w:t>
      </w:r>
      <w:r w:rsidR="00E20E9B">
        <w:rPr>
          <w:rFonts w:ascii="Arial" w:hAnsi="Arial" w:cs="Arial"/>
          <w:sz w:val="22"/>
          <w:lang w:val="en-US"/>
        </w:rPr>
        <w:t xml:space="preserve">Gross </w:t>
      </w:r>
      <w:r>
        <w:rPr>
          <w:rFonts w:ascii="Arial" w:hAnsi="Arial" w:cs="Arial"/>
          <w:sz w:val="22"/>
          <w:lang w:val="en-US"/>
        </w:rPr>
        <w:t>recorded i</w:t>
      </w:r>
      <w:r w:rsidR="00E20E9B">
        <w:rPr>
          <w:rFonts w:ascii="Arial" w:hAnsi="Arial" w:cs="Arial"/>
          <w:sz w:val="22"/>
          <w:lang w:val="en-US"/>
        </w:rPr>
        <w:t>ncome</w:t>
      </w:r>
      <w:r>
        <w:rPr>
          <w:rFonts w:ascii="Arial" w:hAnsi="Arial" w:cs="Arial"/>
          <w:sz w:val="22"/>
          <w:lang w:val="en-US"/>
        </w:rPr>
        <w:t>’</w:t>
      </w:r>
      <w:r w:rsidR="00E20E9B">
        <w:rPr>
          <w:rFonts w:ascii="Arial" w:hAnsi="Arial" w:cs="Arial"/>
          <w:sz w:val="22"/>
          <w:lang w:val="en-US"/>
        </w:rPr>
        <w:t xml:space="preserve"> is </w:t>
      </w:r>
      <w:r>
        <w:rPr>
          <w:rFonts w:ascii="Arial" w:hAnsi="Arial" w:cs="Arial"/>
          <w:sz w:val="22"/>
          <w:lang w:val="en-US"/>
        </w:rPr>
        <w:t xml:space="preserve">normally </w:t>
      </w:r>
      <w:r w:rsidR="00E20E9B">
        <w:rPr>
          <w:rFonts w:ascii="Arial" w:hAnsi="Arial" w:cs="Arial"/>
          <w:sz w:val="22"/>
          <w:lang w:val="en-US"/>
        </w:rPr>
        <w:t>calculated using the Receipts and Payments (cash income) method</w:t>
      </w:r>
      <w:r>
        <w:rPr>
          <w:rFonts w:ascii="Arial" w:hAnsi="Arial" w:cs="Arial"/>
          <w:sz w:val="22"/>
          <w:lang w:val="en-US"/>
        </w:rPr>
        <w:t>.</w:t>
      </w:r>
      <w:r w:rsidR="00E20E9B">
        <w:rPr>
          <w:rFonts w:ascii="Arial" w:hAnsi="Arial" w:cs="Arial"/>
          <w:sz w:val="22"/>
          <w:lang w:val="en-US"/>
        </w:rPr>
        <w:t xml:space="preserve"> </w:t>
      </w:r>
      <w:r w:rsidR="00C46729">
        <w:rPr>
          <w:rFonts w:ascii="Arial" w:hAnsi="Arial" w:cs="Arial"/>
          <w:sz w:val="22"/>
          <w:lang w:val="en-US"/>
        </w:rPr>
        <w:t xml:space="preserve"> If the result of this calculation is that the gross recorded income is in excess of £250k, </w:t>
      </w:r>
      <w:bookmarkStart w:id="0" w:name="_GoBack"/>
      <w:bookmarkEnd w:id="0"/>
      <w:r w:rsidR="00E20E9B">
        <w:rPr>
          <w:rFonts w:ascii="Arial" w:hAnsi="Arial" w:cs="Arial"/>
          <w:sz w:val="22"/>
          <w:lang w:val="en-US"/>
        </w:rPr>
        <w:t>accruals accounting must be adopted for compliance with the Charities Act 2011</w:t>
      </w:r>
      <w:r w:rsidR="00C46729">
        <w:rPr>
          <w:rFonts w:ascii="Arial" w:hAnsi="Arial" w:cs="Arial"/>
          <w:sz w:val="22"/>
          <w:lang w:val="en-US"/>
        </w:rPr>
        <w:t>.</w:t>
      </w:r>
    </w:p>
    <w:p w14:paraId="75D6B035" w14:textId="77777777" w:rsidR="003962B3" w:rsidRPr="00892271" w:rsidRDefault="003962B3">
      <w:pPr>
        <w:rPr>
          <w:rFonts w:ascii="Arial" w:hAnsi="Arial" w:cs="Arial"/>
          <w:sz w:val="10"/>
          <w:lang w:val="en-US"/>
        </w:rPr>
      </w:pPr>
    </w:p>
    <w:p w14:paraId="4832E2F4" w14:textId="77777777" w:rsidR="003962B3" w:rsidRDefault="00E20E9B">
      <w:pPr>
        <w:rPr>
          <w:rFonts w:ascii="Arial" w:hAnsi="Arial" w:cs="Arial"/>
          <w:b/>
          <w:sz w:val="28"/>
          <w:lang w:val="en-US"/>
        </w:rPr>
      </w:pPr>
      <w:r>
        <w:rPr>
          <w:rFonts w:ascii="Arial" w:hAnsi="Arial" w:cs="Arial"/>
          <w:b/>
          <w:sz w:val="28"/>
          <w:lang w:val="en-US"/>
        </w:rPr>
        <w:t>Here’s how to do it</w:t>
      </w:r>
    </w:p>
    <w:p w14:paraId="633994AA" w14:textId="77777777" w:rsidR="003962B3" w:rsidRPr="008E46B0" w:rsidRDefault="003962B3">
      <w:pPr>
        <w:rPr>
          <w:rFonts w:ascii="Arial" w:hAnsi="Arial" w:cs="Arial"/>
          <w:b/>
          <w:sz w:val="10"/>
          <w:lang w:val="en-US"/>
        </w:rPr>
      </w:pPr>
    </w:p>
    <w:p w14:paraId="3309186C" w14:textId="77777777" w:rsidR="003962B3" w:rsidRDefault="00E20E9B">
      <w:pPr>
        <w:rPr>
          <w:rFonts w:ascii="Arial" w:hAnsi="Arial" w:cs="Arial"/>
          <w:b/>
          <w:lang w:val="en-US"/>
        </w:rPr>
      </w:pPr>
      <w:r>
        <w:rPr>
          <w:rFonts w:ascii="Arial" w:hAnsi="Arial" w:cs="Arial"/>
          <w:b/>
          <w:lang w:val="en-US"/>
        </w:rPr>
        <w:t>Include</w:t>
      </w:r>
    </w:p>
    <w:p w14:paraId="7EFAB8D4" w14:textId="77777777" w:rsidR="003962B3" w:rsidRDefault="003962B3">
      <w:pPr>
        <w:rPr>
          <w:rFonts w:ascii="Arial" w:hAnsi="Arial" w:cs="Arial"/>
          <w:b/>
          <w:sz w:val="10"/>
          <w:lang w:val="en-US"/>
        </w:rPr>
      </w:pPr>
    </w:p>
    <w:p w14:paraId="739195CC" w14:textId="77777777" w:rsidR="003962B3" w:rsidRDefault="00E20E9B">
      <w:pPr>
        <w:rPr>
          <w:rFonts w:ascii="Arial" w:hAnsi="Arial" w:cs="Arial"/>
          <w:sz w:val="22"/>
          <w:lang w:val="en-US"/>
        </w:rPr>
      </w:pPr>
      <w:proofErr w:type="gramStart"/>
      <w:r>
        <w:rPr>
          <w:rFonts w:ascii="Arial" w:hAnsi="Arial" w:cs="Arial"/>
          <w:sz w:val="22"/>
          <w:lang w:val="en-US"/>
        </w:rPr>
        <w:t>a</w:t>
      </w:r>
      <w:proofErr w:type="gramEnd"/>
      <w:r>
        <w:rPr>
          <w:rFonts w:ascii="Arial" w:hAnsi="Arial" w:cs="Arial"/>
          <w:sz w:val="22"/>
          <w:lang w:val="en-US"/>
        </w:rPr>
        <w:tab/>
        <w:t>all donations and offertories received in the year</w:t>
      </w:r>
    </w:p>
    <w:p w14:paraId="332CABD2" w14:textId="77777777" w:rsidR="003962B3" w:rsidRDefault="00E20E9B">
      <w:pPr>
        <w:rPr>
          <w:rFonts w:ascii="Arial" w:hAnsi="Arial" w:cs="Arial"/>
          <w:sz w:val="22"/>
          <w:lang w:val="en-US"/>
        </w:rPr>
      </w:pPr>
      <w:proofErr w:type="gramStart"/>
      <w:r>
        <w:rPr>
          <w:rFonts w:ascii="Arial" w:hAnsi="Arial" w:cs="Arial"/>
          <w:sz w:val="22"/>
          <w:lang w:val="en-US"/>
        </w:rPr>
        <w:t>b</w:t>
      </w:r>
      <w:proofErr w:type="gramEnd"/>
      <w:r>
        <w:rPr>
          <w:rFonts w:ascii="Arial" w:hAnsi="Arial" w:cs="Arial"/>
          <w:sz w:val="22"/>
          <w:lang w:val="en-US"/>
        </w:rPr>
        <w:tab/>
        <w:t>all gift aid and GASDS received in the year</w:t>
      </w:r>
    </w:p>
    <w:p w14:paraId="53C862BE" w14:textId="77777777" w:rsidR="003962B3" w:rsidRDefault="00E20E9B">
      <w:proofErr w:type="gramStart"/>
      <w:r>
        <w:rPr>
          <w:rFonts w:ascii="Arial" w:hAnsi="Arial" w:cs="Arial"/>
          <w:sz w:val="22"/>
          <w:lang w:val="en-US"/>
        </w:rPr>
        <w:t>c</w:t>
      </w:r>
      <w:proofErr w:type="gramEnd"/>
      <w:r>
        <w:rPr>
          <w:rFonts w:ascii="Arial" w:hAnsi="Arial" w:cs="Arial"/>
          <w:sz w:val="22"/>
          <w:lang w:val="en-US"/>
        </w:rPr>
        <w:tab/>
        <w:t>all legacies received in the year except where these are deemed to be endowment</w:t>
      </w:r>
    </w:p>
    <w:p w14:paraId="4980E97E" w14:textId="77777777" w:rsidR="003962B3" w:rsidRDefault="00E20E9B">
      <w:pPr>
        <w:rPr>
          <w:rFonts w:ascii="Arial" w:hAnsi="Arial" w:cs="Arial"/>
          <w:sz w:val="22"/>
          <w:lang w:val="en-US"/>
        </w:rPr>
      </w:pPr>
      <w:proofErr w:type="gramStart"/>
      <w:r>
        <w:rPr>
          <w:rFonts w:ascii="Arial" w:hAnsi="Arial" w:cs="Arial"/>
          <w:sz w:val="22"/>
          <w:lang w:val="en-US"/>
        </w:rPr>
        <w:t>d</w:t>
      </w:r>
      <w:proofErr w:type="gramEnd"/>
      <w:r>
        <w:rPr>
          <w:rFonts w:ascii="Arial" w:hAnsi="Arial" w:cs="Arial"/>
          <w:sz w:val="22"/>
          <w:lang w:val="en-US"/>
        </w:rPr>
        <w:tab/>
        <w:t>all dividends on investments and interest on deposits (gross), received in the year</w:t>
      </w:r>
    </w:p>
    <w:p w14:paraId="718A51C6" w14:textId="77777777" w:rsidR="003962B3" w:rsidRDefault="00E20E9B">
      <w:pPr>
        <w:rPr>
          <w:rFonts w:ascii="Arial" w:hAnsi="Arial" w:cs="Arial"/>
          <w:sz w:val="22"/>
          <w:lang w:val="en-US"/>
        </w:rPr>
      </w:pPr>
      <w:proofErr w:type="gramStart"/>
      <w:r>
        <w:rPr>
          <w:rFonts w:ascii="Arial" w:hAnsi="Arial" w:cs="Arial"/>
          <w:sz w:val="22"/>
          <w:lang w:val="en-US"/>
        </w:rPr>
        <w:t>e</w:t>
      </w:r>
      <w:proofErr w:type="gramEnd"/>
      <w:r>
        <w:rPr>
          <w:rFonts w:ascii="Arial" w:hAnsi="Arial" w:cs="Arial"/>
          <w:sz w:val="22"/>
          <w:lang w:val="en-US"/>
        </w:rPr>
        <w:tab/>
        <w:t>all income received in the year from the rental of premises and/or equipment</w:t>
      </w:r>
    </w:p>
    <w:p w14:paraId="62701250" w14:textId="77777777" w:rsidR="003962B3" w:rsidRDefault="00E20E9B">
      <w:pPr>
        <w:rPr>
          <w:rFonts w:ascii="Arial" w:hAnsi="Arial" w:cs="Arial"/>
          <w:sz w:val="22"/>
          <w:lang w:val="en-US"/>
        </w:rPr>
      </w:pPr>
      <w:proofErr w:type="gramStart"/>
      <w:r>
        <w:rPr>
          <w:rFonts w:ascii="Arial" w:hAnsi="Arial" w:cs="Arial"/>
          <w:sz w:val="22"/>
          <w:lang w:val="en-US"/>
        </w:rPr>
        <w:t>f</w:t>
      </w:r>
      <w:proofErr w:type="gramEnd"/>
      <w:r>
        <w:rPr>
          <w:rFonts w:ascii="Arial" w:hAnsi="Arial" w:cs="Arial"/>
          <w:sz w:val="22"/>
          <w:lang w:val="en-US"/>
        </w:rPr>
        <w:tab/>
        <w:t>all gross income from activities controlled by the entity</w:t>
      </w:r>
    </w:p>
    <w:p w14:paraId="007B6ACC" w14:textId="77777777" w:rsidR="003962B3" w:rsidRDefault="00E20E9B">
      <w:proofErr w:type="gramStart"/>
      <w:r>
        <w:rPr>
          <w:rFonts w:ascii="Arial" w:hAnsi="Arial" w:cs="Arial"/>
          <w:sz w:val="22"/>
          <w:lang w:val="en-US"/>
        </w:rPr>
        <w:t>g</w:t>
      </w:r>
      <w:proofErr w:type="gramEnd"/>
      <w:r>
        <w:rPr>
          <w:rFonts w:ascii="Arial" w:hAnsi="Arial" w:cs="Arial"/>
          <w:sz w:val="22"/>
          <w:lang w:val="en-US"/>
        </w:rPr>
        <w:tab/>
        <w:t>any transfer of endowments to income for spending on activities</w:t>
      </w:r>
    </w:p>
    <w:p w14:paraId="19BCBE85" w14:textId="77777777" w:rsidR="003962B3" w:rsidRDefault="00E20E9B">
      <w:pPr>
        <w:ind w:left="720" w:hanging="720"/>
      </w:pPr>
      <w:proofErr w:type="gramStart"/>
      <w:r>
        <w:rPr>
          <w:rFonts w:ascii="Arial" w:hAnsi="Arial" w:cs="Arial"/>
          <w:sz w:val="22"/>
          <w:lang w:val="en-US"/>
        </w:rPr>
        <w:t>h</w:t>
      </w:r>
      <w:proofErr w:type="gramEnd"/>
      <w:r>
        <w:rPr>
          <w:rFonts w:ascii="Arial" w:hAnsi="Arial" w:cs="Arial"/>
          <w:sz w:val="22"/>
          <w:lang w:val="en-US"/>
        </w:rPr>
        <w:tab/>
        <w:t>(for circuits) the market value of any chapel declared redundant in the year and transferred to the circuit (unless</w:t>
      </w:r>
      <w:r w:rsidR="008E46B0">
        <w:rPr>
          <w:rFonts w:ascii="Arial" w:hAnsi="Arial" w:cs="Arial"/>
          <w:sz w:val="22"/>
          <w:lang w:val="en-US"/>
        </w:rPr>
        <w:t>, rarely,</w:t>
      </w:r>
      <w:r>
        <w:rPr>
          <w:rFonts w:ascii="Arial" w:hAnsi="Arial" w:cs="Arial"/>
          <w:sz w:val="22"/>
          <w:lang w:val="en-US"/>
        </w:rPr>
        <w:t xml:space="preserve"> the chapel belongs to an endowment)</w:t>
      </w:r>
    </w:p>
    <w:p w14:paraId="78E5C6CF" w14:textId="77777777" w:rsidR="003962B3" w:rsidRDefault="00E20E9B">
      <w:pPr>
        <w:ind w:left="720" w:hanging="720"/>
        <w:rPr>
          <w:rFonts w:ascii="Arial" w:hAnsi="Arial" w:cs="Arial"/>
          <w:sz w:val="22"/>
          <w:lang w:val="en-US"/>
        </w:rPr>
      </w:pPr>
      <w:proofErr w:type="spellStart"/>
      <w:proofErr w:type="gramStart"/>
      <w:r>
        <w:rPr>
          <w:rFonts w:ascii="Arial" w:hAnsi="Arial" w:cs="Arial"/>
          <w:sz w:val="22"/>
          <w:lang w:val="en-US"/>
        </w:rPr>
        <w:t>i</w:t>
      </w:r>
      <w:proofErr w:type="spellEnd"/>
      <w:proofErr w:type="gramEnd"/>
      <w:r>
        <w:rPr>
          <w:rFonts w:ascii="Arial" w:hAnsi="Arial" w:cs="Arial"/>
          <w:sz w:val="22"/>
          <w:lang w:val="en-US"/>
        </w:rPr>
        <w:tab/>
        <w:t>any income payment (</w:t>
      </w:r>
      <w:proofErr w:type="spellStart"/>
      <w:r>
        <w:rPr>
          <w:rFonts w:ascii="Arial" w:hAnsi="Arial" w:cs="Arial"/>
          <w:i/>
          <w:sz w:val="22"/>
          <w:lang w:val="en-US"/>
        </w:rPr>
        <w:t>eg</w:t>
      </w:r>
      <w:proofErr w:type="spellEnd"/>
      <w:r>
        <w:rPr>
          <w:rFonts w:ascii="Arial" w:hAnsi="Arial" w:cs="Arial"/>
          <w:i/>
          <w:sz w:val="22"/>
          <w:lang w:val="en-US"/>
        </w:rPr>
        <w:t xml:space="preserve"> </w:t>
      </w:r>
      <w:r>
        <w:rPr>
          <w:rFonts w:ascii="Arial" w:hAnsi="Arial" w:cs="Arial"/>
          <w:sz w:val="22"/>
          <w:lang w:val="en-US"/>
        </w:rPr>
        <w:t>rental income) received in advance at the end of the year</w:t>
      </w:r>
    </w:p>
    <w:p w14:paraId="2208FE61" w14:textId="77777777" w:rsidR="003962B3" w:rsidRDefault="00E20E9B">
      <w:pPr>
        <w:ind w:left="720" w:hanging="720"/>
        <w:rPr>
          <w:rFonts w:ascii="Arial" w:hAnsi="Arial" w:cs="Arial"/>
          <w:sz w:val="22"/>
          <w:lang w:val="en-US"/>
        </w:rPr>
      </w:pPr>
      <w:proofErr w:type="gramStart"/>
      <w:r>
        <w:rPr>
          <w:rFonts w:ascii="Arial" w:hAnsi="Arial" w:cs="Arial"/>
          <w:sz w:val="22"/>
          <w:lang w:val="en-US"/>
        </w:rPr>
        <w:t>j</w:t>
      </w:r>
      <w:proofErr w:type="gramEnd"/>
      <w:r>
        <w:rPr>
          <w:rFonts w:ascii="Arial" w:hAnsi="Arial" w:cs="Arial"/>
          <w:sz w:val="22"/>
          <w:lang w:val="en-US"/>
        </w:rPr>
        <w:tab/>
        <w:t>(for circuits) assessments received from churches</w:t>
      </w:r>
    </w:p>
    <w:p w14:paraId="4E13A52E" w14:textId="77777777" w:rsidR="003962B3" w:rsidRDefault="00E20E9B">
      <w:pPr>
        <w:ind w:left="720" w:hanging="720"/>
      </w:pPr>
      <w:proofErr w:type="gramStart"/>
      <w:r>
        <w:rPr>
          <w:rFonts w:ascii="Arial" w:hAnsi="Arial" w:cs="Arial"/>
          <w:sz w:val="22"/>
          <w:lang w:val="en-US"/>
        </w:rPr>
        <w:t>k</w:t>
      </w:r>
      <w:proofErr w:type="gramEnd"/>
      <w:r>
        <w:rPr>
          <w:rFonts w:ascii="Arial" w:hAnsi="Arial" w:cs="Arial"/>
          <w:sz w:val="22"/>
          <w:lang w:val="en-US"/>
        </w:rPr>
        <w:tab/>
        <w:t xml:space="preserve">any grant received whether from circuit, district, </w:t>
      </w:r>
      <w:proofErr w:type="spellStart"/>
      <w:r>
        <w:rPr>
          <w:rFonts w:ascii="Arial" w:hAnsi="Arial" w:cs="Arial"/>
          <w:sz w:val="22"/>
          <w:lang w:val="en-US"/>
        </w:rPr>
        <w:t>connexion</w:t>
      </w:r>
      <w:proofErr w:type="spellEnd"/>
      <w:r>
        <w:rPr>
          <w:rFonts w:ascii="Arial" w:hAnsi="Arial" w:cs="Arial"/>
          <w:sz w:val="22"/>
          <w:lang w:val="en-US"/>
        </w:rPr>
        <w:t xml:space="preserve"> or other source (unless</w:t>
      </w:r>
      <w:r w:rsidR="00C46729">
        <w:rPr>
          <w:rFonts w:ascii="Arial" w:hAnsi="Arial" w:cs="Arial"/>
          <w:sz w:val="22"/>
          <w:lang w:val="en-US"/>
        </w:rPr>
        <w:t xml:space="preserve"> </w:t>
      </w:r>
      <w:r>
        <w:rPr>
          <w:rFonts w:ascii="Arial" w:hAnsi="Arial" w:cs="Arial"/>
          <w:sz w:val="22"/>
          <w:lang w:val="en-US"/>
        </w:rPr>
        <w:t>it is for endowment)</w:t>
      </w:r>
    </w:p>
    <w:p w14:paraId="62B4BCA9" w14:textId="77777777" w:rsidR="003962B3" w:rsidRDefault="00E20E9B">
      <w:pPr>
        <w:ind w:left="720" w:hanging="720"/>
        <w:rPr>
          <w:rFonts w:ascii="Arial" w:hAnsi="Arial" w:cs="Arial"/>
          <w:sz w:val="22"/>
          <w:lang w:val="en-US"/>
        </w:rPr>
      </w:pPr>
      <w:proofErr w:type="gramStart"/>
      <w:r>
        <w:rPr>
          <w:rFonts w:ascii="Arial" w:hAnsi="Arial" w:cs="Arial"/>
          <w:sz w:val="22"/>
          <w:lang w:val="en-US"/>
        </w:rPr>
        <w:t>m</w:t>
      </w:r>
      <w:proofErr w:type="gramEnd"/>
      <w:r>
        <w:rPr>
          <w:rFonts w:ascii="Arial" w:hAnsi="Arial" w:cs="Arial"/>
          <w:sz w:val="22"/>
          <w:lang w:val="en-US"/>
        </w:rPr>
        <w:tab/>
        <w:t xml:space="preserve">gross income from fund-raising </w:t>
      </w:r>
      <w:r w:rsidR="008E46B0">
        <w:rPr>
          <w:rFonts w:ascii="Arial" w:hAnsi="Arial" w:cs="Arial"/>
          <w:sz w:val="22"/>
          <w:lang w:val="en-US"/>
        </w:rPr>
        <w:t xml:space="preserve">and trading </w:t>
      </w:r>
      <w:r>
        <w:rPr>
          <w:rFonts w:ascii="Arial" w:hAnsi="Arial" w:cs="Arial"/>
          <w:sz w:val="22"/>
          <w:lang w:val="en-US"/>
        </w:rPr>
        <w:t>activities</w:t>
      </w:r>
    </w:p>
    <w:p w14:paraId="4AB68F43" w14:textId="77777777" w:rsidR="003962B3" w:rsidRDefault="003962B3">
      <w:pPr>
        <w:rPr>
          <w:rFonts w:ascii="Arial" w:hAnsi="Arial" w:cs="Arial"/>
          <w:sz w:val="22"/>
          <w:lang w:val="en-US"/>
        </w:rPr>
      </w:pPr>
    </w:p>
    <w:p w14:paraId="58A2DE72" w14:textId="77777777" w:rsidR="003962B3" w:rsidRDefault="00E20E9B">
      <w:pPr>
        <w:ind w:left="720" w:hanging="720"/>
        <w:rPr>
          <w:rFonts w:ascii="Arial" w:hAnsi="Arial" w:cs="Arial"/>
          <w:b/>
          <w:lang w:val="en-US"/>
        </w:rPr>
      </w:pPr>
      <w:r>
        <w:rPr>
          <w:rFonts w:ascii="Arial" w:hAnsi="Arial" w:cs="Arial"/>
          <w:b/>
          <w:lang w:val="en-US"/>
        </w:rPr>
        <w:t>Exclude</w:t>
      </w:r>
    </w:p>
    <w:p w14:paraId="7B3CA4D6" w14:textId="77777777" w:rsidR="003962B3" w:rsidRDefault="003962B3">
      <w:pPr>
        <w:ind w:left="720" w:hanging="720"/>
        <w:rPr>
          <w:rFonts w:ascii="Arial" w:hAnsi="Arial" w:cs="Arial"/>
          <w:b/>
          <w:sz w:val="10"/>
          <w:lang w:val="en-US"/>
        </w:rPr>
      </w:pPr>
    </w:p>
    <w:p w14:paraId="608C9562" w14:textId="77777777" w:rsidR="003962B3" w:rsidRDefault="00E20E9B">
      <w:pPr>
        <w:ind w:left="720" w:hanging="720"/>
        <w:rPr>
          <w:rFonts w:ascii="Arial" w:hAnsi="Arial" w:cs="Arial"/>
          <w:sz w:val="22"/>
          <w:lang w:val="en-US"/>
        </w:rPr>
      </w:pPr>
      <w:proofErr w:type="gramStart"/>
      <w:r>
        <w:rPr>
          <w:rFonts w:ascii="Arial" w:hAnsi="Arial" w:cs="Arial"/>
          <w:sz w:val="22"/>
          <w:lang w:val="en-US"/>
        </w:rPr>
        <w:t>n</w:t>
      </w:r>
      <w:proofErr w:type="gramEnd"/>
      <w:r>
        <w:rPr>
          <w:rFonts w:ascii="Arial" w:hAnsi="Arial" w:cs="Arial"/>
          <w:sz w:val="22"/>
          <w:lang w:val="en-US"/>
        </w:rPr>
        <w:tab/>
        <w:t>any income debtor at the end of the year</w:t>
      </w:r>
    </w:p>
    <w:p w14:paraId="0C4BC352" w14:textId="77777777" w:rsidR="003962B3" w:rsidRDefault="00E20E9B">
      <w:pPr>
        <w:ind w:left="720" w:hanging="720"/>
        <w:rPr>
          <w:rFonts w:ascii="Arial" w:hAnsi="Arial" w:cs="Arial"/>
          <w:sz w:val="22"/>
          <w:lang w:val="en-US"/>
        </w:rPr>
      </w:pPr>
      <w:proofErr w:type="gramStart"/>
      <w:r>
        <w:rPr>
          <w:rFonts w:ascii="Arial" w:hAnsi="Arial" w:cs="Arial"/>
          <w:sz w:val="22"/>
          <w:lang w:val="en-US"/>
        </w:rPr>
        <w:t>p</w:t>
      </w:r>
      <w:proofErr w:type="gramEnd"/>
      <w:r>
        <w:rPr>
          <w:rFonts w:ascii="Arial" w:hAnsi="Arial" w:cs="Arial"/>
          <w:sz w:val="22"/>
          <w:lang w:val="en-US"/>
        </w:rPr>
        <w:tab/>
        <w:t>proceeds of sale of any functional or investment fixed asset(s) sold in the year</w:t>
      </w:r>
    </w:p>
    <w:p w14:paraId="5190D7C9" w14:textId="4F81834C" w:rsidR="003962B3" w:rsidRDefault="00E20E9B">
      <w:pPr>
        <w:ind w:left="720" w:hanging="720"/>
        <w:rPr>
          <w:rFonts w:ascii="Arial" w:hAnsi="Arial" w:cs="Arial"/>
          <w:sz w:val="22"/>
          <w:lang w:val="en-US"/>
        </w:rPr>
      </w:pPr>
      <w:proofErr w:type="gramStart"/>
      <w:r>
        <w:rPr>
          <w:rFonts w:ascii="Arial" w:hAnsi="Arial" w:cs="Arial"/>
          <w:sz w:val="22"/>
          <w:lang w:val="en-US"/>
        </w:rPr>
        <w:t>q</w:t>
      </w:r>
      <w:proofErr w:type="gramEnd"/>
      <w:r>
        <w:rPr>
          <w:rFonts w:ascii="Arial" w:hAnsi="Arial" w:cs="Arial"/>
          <w:sz w:val="22"/>
          <w:lang w:val="en-US"/>
        </w:rPr>
        <w:tab/>
        <w:t xml:space="preserve">any sum received from insurers for the settlement of a claim </w:t>
      </w:r>
      <w:r w:rsidR="00C46729">
        <w:rPr>
          <w:rFonts w:ascii="Arial" w:hAnsi="Arial" w:cs="Arial"/>
          <w:sz w:val="22"/>
          <w:lang w:val="en-US"/>
        </w:rPr>
        <w:t>unless the insurance policy is ‘new for old’ in which case advice should be sought</w:t>
      </w:r>
      <w:r w:rsidR="00892271">
        <w:rPr>
          <w:rFonts w:ascii="Arial" w:hAnsi="Arial" w:cs="Arial"/>
          <w:sz w:val="22"/>
          <w:lang w:val="en-US"/>
        </w:rPr>
        <w:t xml:space="preserve"> (see below)</w:t>
      </w:r>
    </w:p>
    <w:p w14:paraId="3CB3204C" w14:textId="77777777" w:rsidR="003962B3" w:rsidRDefault="00E20E9B">
      <w:pPr>
        <w:ind w:left="720" w:hanging="720"/>
        <w:rPr>
          <w:rFonts w:ascii="Arial" w:hAnsi="Arial" w:cs="Arial"/>
          <w:sz w:val="22"/>
          <w:lang w:val="en-US"/>
        </w:rPr>
      </w:pPr>
      <w:proofErr w:type="gramStart"/>
      <w:r>
        <w:rPr>
          <w:rFonts w:ascii="Arial" w:hAnsi="Arial" w:cs="Arial"/>
          <w:sz w:val="22"/>
          <w:lang w:val="en-US"/>
        </w:rPr>
        <w:t>r</w:t>
      </w:r>
      <w:proofErr w:type="gramEnd"/>
      <w:r>
        <w:rPr>
          <w:rFonts w:ascii="Arial" w:hAnsi="Arial" w:cs="Arial"/>
          <w:sz w:val="22"/>
          <w:lang w:val="en-US"/>
        </w:rPr>
        <w:tab/>
        <w:t>collections in the year for other charities</w:t>
      </w:r>
    </w:p>
    <w:p w14:paraId="3EEADB20" w14:textId="77777777" w:rsidR="003962B3" w:rsidRDefault="00E20E9B">
      <w:pPr>
        <w:ind w:left="720" w:hanging="720"/>
        <w:rPr>
          <w:rFonts w:ascii="Arial" w:hAnsi="Arial" w:cs="Arial"/>
          <w:sz w:val="22"/>
          <w:lang w:val="en-US"/>
        </w:rPr>
      </w:pPr>
      <w:proofErr w:type="gramStart"/>
      <w:r>
        <w:rPr>
          <w:rFonts w:ascii="Arial" w:hAnsi="Arial" w:cs="Arial"/>
          <w:sz w:val="22"/>
          <w:lang w:val="en-US"/>
        </w:rPr>
        <w:t>s</w:t>
      </w:r>
      <w:proofErr w:type="gramEnd"/>
      <w:r>
        <w:rPr>
          <w:rFonts w:ascii="Arial" w:hAnsi="Arial" w:cs="Arial"/>
          <w:sz w:val="22"/>
          <w:lang w:val="en-US"/>
        </w:rPr>
        <w:tab/>
        <w:t>(for districts) that part of the assessment from circuits that is passed to the Methodist Church Fund</w:t>
      </w:r>
    </w:p>
    <w:p w14:paraId="52E53A75" w14:textId="77777777" w:rsidR="003962B3" w:rsidRDefault="00E20E9B">
      <w:pPr>
        <w:ind w:left="720" w:hanging="720"/>
        <w:rPr>
          <w:rFonts w:ascii="Arial" w:hAnsi="Arial" w:cs="Arial"/>
          <w:sz w:val="22"/>
          <w:lang w:val="en-US"/>
        </w:rPr>
      </w:pPr>
      <w:proofErr w:type="gramStart"/>
      <w:r>
        <w:rPr>
          <w:rFonts w:ascii="Arial" w:hAnsi="Arial" w:cs="Arial"/>
          <w:sz w:val="22"/>
          <w:lang w:val="en-US"/>
        </w:rPr>
        <w:t>t</w:t>
      </w:r>
      <w:proofErr w:type="gramEnd"/>
      <w:r>
        <w:rPr>
          <w:rFonts w:ascii="Arial" w:hAnsi="Arial" w:cs="Arial"/>
          <w:sz w:val="22"/>
          <w:lang w:val="en-US"/>
        </w:rPr>
        <w:tab/>
        <w:t>any endowment capital (see above) received in the year</w:t>
      </w:r>
    </w:p>
    <w:p w14:paraId="3F00808E" w14:textId="77777777" w:rsidR="003962B3" w:rsidRDefault="00E20E9B">
      <w:pPr>
        <w:ind w:left="720" w:hanging="720"/>
        <w:rPr>
          <w:rFonts w:ascii="Arial" w:hAnsi="Arial" w:cs="Arial"/>
          <w:sz w:val="22"/>
          <w:lang w:val="en-US"/>
        </w:rPr>
      </w:pPr>
      <w:proofErr w:type="gramStart"/>
      <w:r>
        <w:rPr>
          <w:rFonts w:ascii="Arial" w:hAnsi="Arial" w:cs="Arial"/>
          <w:sz w:val="22"/>
          <w:lang w:val="en-US"/>
        </w:rPr>
        <w:t>u</w:t>
      </w:r>
      <w:proofErr w:type="gramEnd"/>
      <w:r>
        <w:rPr>
          <w:rFonts w:ascii="Arial" w:hAnsi="Arial" w:cs="Arial"/>
          <w:sz w:val="22"/>
          <w:lang w:val="en-US"/>
        </w:rPr>
        <w:tab/>
        <w:t xml:space="preserve">any refunds for expenses not incurred </w:t>
      </w:r>
      <w:proofErr w:type="spellStart"/>
      <w:r>
        <w:rPr>
          <w:rFonts w:ascii="Arial" w:hAnsi="Arial" w:cs="Arial"/>
          <w:i/>
          <w:sz w:val="22"/>
          <w:lang w:val="en-US"/>
        </w:rPr>
        <w:t>eg</w:t>
      </w:r>
      <w:proofErr w:type="spellEnd"/>
      <w:r>
        <w:rPr>
          <w:rFonts w:ascii="Arial" w:hAnsi="Arial" w:cs="Arial"/>
          <w:i/>
          <w:sz w:val="22"/>
          <w:lang w:val="en-US"/>
        </w:rPr>
        <w:t xml:space="preserve"> </w:t>
      </w:r>
      <w:r>
        <w:rPr>
          <w:rFonts w:ascii="Arial" w:hAnsi="Arial" w:cs="Arial"/>
          <w:sz w:val="22"/>
          <w:lang w:val="en-US"/>
        </w:rPr>
        <w:t>payment for a place on an external course where the participant was unable to attend and the payment was made in the same accounting period as the refund was received, if immaterial</w:t>
      </w:r>
    </w:p>
    <w:p w14:paraId="1150B090" w14:textId="77777777" w:rsidR="003962B3" w:rsidRDefault="00E20E9B">
      <w:pPr>
        <w:ind w:left="720" w:hanging="720"/>
        <w:rPr>
          <w:rFonts w:ascii="Arial" w:hAnsi="Arial" w:cs="Arial"/>
          <w:sz w:val="22"/>
          <w:lang w:val="en-US"/>
        </w:rPr>
      </w:pPr>
      <w:proofErr w:type="gramStart"/>
      <w:r>
        <w:rPr>
          <w:rFonts w:ascii="Arial" w:hAnsi="Arial" w:cs="Arial"/>
          <w:sz w:val="22"/>
          <w:lang w:val="en-US"/>
        </w:rPr>
        <w:t>v</w:t>
      </w:r>
      <w:proofErr w:type="gramEnd"/>
      <w:r>
        <w:rPr>
          <w:rFonts w:ascii="Arial" w:hAnsi="Arial" w:cs="Arial"/>
          <w:sz w:val="22"/>
          <w:lang w:val="en-US"/>
        </w:rPr>
        <w:tab/>
        <w:t>repayments received on loans made by the entity</w:t>
      </w:r>
    </w:p>
    <w:p w14:paraId="5F924A25" w14:textId="77777777" w:rsidR="003962B3" w:rsidRDefault="00E20E9B">
      <w:pPr>
        <w:ind w:left="720" w:hanging="720"/>
        <w:rPr>
          <w:rFonts w:ascii="Arial" w:hAnsi="Arial" w:cs="Arial"/>
          <w:sz w:val="22"/>
          <w:lang w:val="en-US"/>
        </w:rPr>
      </w:pPr>
      <w:proofErr w:type="gramStart"/>
      <w:r>
        <w:rPr>
          <w:rFonts w:ascii="Arial" w:hAnsi="Arial" w:cs="Arial"/>
          <w:sz w:val="22"/>
          <w:lang w:val="en-US"/>
        </w:rPr>
        <w:t>w</w:t>
      </w:r>
      <w:proofErr w:type="gramEnd"/>
      <w:r>
        <w:rPr>
          <w:rFonts w:ascii="Arial" w:hAnsi="Arial" w:cs="Arial"/>
          <w:sz w:val="22"/>
          <w:lang w:val="en-US"/>
        </w:rPr>
        <w:tab/>
      </w:r>
      <w:proofErr w:type="spellStart"/>
      <w:r>
        <w:rPr>
          <w:rFonts w:ascii="Arial" w:hAnsi="Arial" w:cs="Arial"/>
          <w:sz w:val="22"/>
          <w:lang w:val="en-US"/>
        </w:rPr>
        <w:t>unrealised</w:t>
      </w:r>
      <w:proofErr w:type="spellEnd"/>
      <w:r>
        <w:rPr>
          <w:rFonts w:ascii="Arial" w:hAnsi="Arial" w:cs="Arial"/>
          <w:sz w:val="22"/>
          <w:lang w:val="en-US"/>
        </w:rPr>
        <w:t xml:space="preserve"> gains on investments</w:t>
      </w:r>
    </w:p>
    <w:p w14:paraId="0A335260" w14:textId="77777777" w:rsidR="00890906" w:rsidRDefault="00890906">
      <w:pPr>
        <w:ind w:left="720" w:hanging="720"/>
        <w:rPr>
          <w:rFonts w:ascii="Arial" w:hAnsi="Arial" w:cs="Arial"/>
          <w:sz w:val="22"/>
          <w:lang w:val="en-US"/>
        </w:rPr>
      </w:pPr>
      <w:r>
        <w:rPr>
          <w:rFonts w:ascii="Arial" w:hAnsi="Arial" w:cs="Arial"/>
          <w:sz w:val="22"/>
          <w:lang w:val="en-US"/>
        </w:rPr>
        <w:t>x</w:t>
      </w:r>
      <w:r>
        <w:rPr>
          <w:rFonts w:ascii="Arial" w:hAnsi="Arial" w:cs="Arial"/>
          <w:sz w:val="22"/>
          <w:lang w:val="en-US"/>
        </w:rPr>
        <w:tab/>
        <w:t>loans to the entity received in the year</w:t>
      </w:r>
    </w:p>
    <w:p w14:paraId="6DEBD3AF" w14:textId="77777777" w:rsidR="003962B3" w:rsidRDefault="003962B3">
      <w:pPr>
        <w:ind w:left="720" w:hanging="720"/>
        <w:rPr>
          <w:rFonts w:ascii="Arial" w:hAnsi="Arial" w:cs="Arial"/>
          <w:sz w:val="22"/>
          <w:lang w:val="en-US"/>
        </w:rPr>
      </w:pPr>
    </w:p>
    <w:p w14:paraId="0B24E43A" w14:textId="77777777" w:rsidR="003962B3" w:rsidRDefault="00E20E9B" w:rsidP="008E46B0">
      <w:pPr>
        <w:ind w:left="720" w:hanging="720"/>
        <w:rPr>
          <w:rFonts w:ascii="Arial" w:hAnsi="Arial" w:cs="Arial"/>
          <w:lang w:val="en-US"/>
        </w:rPr>
      </w:pPr>
      <w:r>
        <w:rPr>
          <w:rFonts w:ascii="Arial" w:hAnsi="Arial" w:cs="Arial"/>
          <w:lang w:val="en-US"/>
        </w:rPr>
        <w:t xml:space="preserve">JGC </w:t>
      </w:r>
      <w:proofErr w:type="gramStart"/>
      <w:r>
        <w:rPr>
          <w:rFonts w:ascii="Arial" w:hAnsi="Arial" w:cs="Arial"/>
          <w:lang w:val="en-US"/>
        </w:rPr>
        <w:t>v2</w:t>
      </w:r>
      <w:r w:rsidR="008E46B0">
        <w:rPr>
          <w:rFonts w:ascii="Arial" w:hAnsi="Arial" w:cs="Arial"/>
          <w:lang w:val="en-US"/>
        </w:rPr>
        <w:t xml:space="preserve">.9  </w:t>
      </w:r>
      <w:r>
        <w:rPr>
          <w:rFonts w:ascii="Arial" w:hAnsi="Arial" w:cs="Arial"/>
          <w:lang w:val="en-US"/>
        </w:rPr>
        <w:t>201909</w:t>
      </w:r>
      <w:r w:rsidR="008E46B0">
        <w:rPr>
          <w:rFonts w:ascii="Arial" w:hAnsi="Arial" w:cs="Arial"/>
          <w:lang w:val="en-US"/>
        </w:rPr>
        <w:t>10</w:t>
      </w:r>
      <w:proofErr w:type="gramEnd"/>
    </w:p>
    <w:p w14:paraId="21543E18" w14:textId="0BE468ED" w:rsidR="003962B3" w:rsidRDefault="00892271">
      <w:pPr>
        <w:ind w:left="720" w:hanging="720"/>
        <w:rPr>
          <w:rFonts w:ascii="Arial" w:hAnsi="Arial" w:cs="Arial"/>
          <w:lang w:val="en-US"/>
        </w:rPr>
      </w:pPr>
      <w:r>
        <w:rPr>
          <w:rFonts w:ascii="Arial" w:hAnsi="Arial" w:cs="Arial"/>
          <w:lang w:val="en-US"/>
        </w:rPr>
        <w:lastRenderedPageBreak/>
        <w:t>This is a fuller note on the receipt of insurance claim</w:t>
      </w:r>
    </w:p>
    <w:p w14:paraId="1133D0F8" w14:textId="77777777" w:rsidR="00892271" w:rsidRDefault="00892271">
      <w:pPr>
        <w:ind w:left="720" w:hanging="720"/>
        <w:rPr>
          <w:rFonts w:ascii="Arial" w:hAnsi="Arial" w:cs="Arial"/>
          <w:lang w:val="en-US"/>
        </w:rPr>
      </w:pPr>
    </w:p>
    <w:p w14:paraId="549A13BA" w14:textId="77777777" w:rsidR="00892271" w:rsidRDefault="00892271">
      <w:pPr>
        <w:ind w:left="720" w:hanging="720"/>
        <w:rPr>
          <w:rFonts w:ascii="Arial" w:hAnsi="Arial" w:cs="Arial"/>
          <w:lang w:val="en-US"/>
        </w:rPr>
      </w:pPr>
    </w:p>
    <w:p w14:paraId="4496DEA4" w14:textId="2AD5D84D" w:rsidR="00892271" w:rsidRPr="00892271" w:rsidRDefault="00892271" w:rsidP="00892271">
      <w:pPr>
        <w:rPr>
          <w:rFonts w:ascii="Helvetica" w:eastAsia="Times New Roman" w:hAnsi="Helvetica" w:cs="Times New Roman"/>
          <w:color w:val="000000"/>
          <w:sz w:val="18"/>
          <w:szCs w:val="18"/>
        </w:rPr>
      </w:pPr>
      <w:r w:rsidRPr="00892271">
        <w:rPr>
          <w:rFonts w:ascii="Helvetica" w:eastAsia="Times New Roman" w:hAnsi="Helvetica" w:cs="Times New Roman"/>
          <w:color w:val="000000"/>
          <w:sz w:val="18"/>
          <w:szCs w:val="18"/>
        </w:rPr>
        <w:t xml:space="preserve">The CC interprets "gross income" in R&amp;P accounts as including any insurance </w:t>
      </w:r>
      <w:r>
        <w:rPr>
          <w:rFonts w:ascii="Helvetica" w:eastAsia="Times New Roman" w:hAnsi="Helvetica" w:cs="Times New Roman"/>
          <w:color w:val="000000"/>
          <w:sz w:val="18"/>
          <w:szCs w:val="18"/>
        </w:rPr>
        <w:t>claim monies actually received (</w:t>
      </w:r>
      <w:r w:rsidRPr="00892271">
        <w:rPr>
          <w:rFonts w:ascii="Helvetica" w:eastAsia="Times New Roman" w:hAnsi="Helvetica" w:cs="Times New Roman"/>
          <w:color w:val="000000"/>
          <w:sz w:val="18"/>
          <w:szCs w:val="18"/>
        </w:rPr>
        <w:t>unless the</w:t>
      </w:r>
      <w:r>
        <w:rPr>
          <w:rFonts w:ascii="Helvetica" w:eastAsia="Times New Roman" w:hAnsi="Helvetica" w:cs="Times New Roman"/>
          <w:color w:val="000000"/>
          <w:sz w:val="18"/>
          <w:szCs w:val="18"/>
        </w:rPr>
        <w:t>y belong to endowment.  If</w:t>
      </w:r>
      <w:r w:rsidRPr="00892271">
        <w:rPr>
          <w:rFonts w:ascii="Helvetica" w:eastAsia="Times New Roman" w:hAnsi="Helvetica" w:cs="Times New Roman"/>
          <w:color w:val="000000"/>
          <w:sz w:val="18"/>
          <w:szCs w:val="18"/>
        </w:rPr>
        <w:t xml:space="preserve"> the insurer pays direct for the replacement or repair of damaged goods or other assets </w:t>
      </w:r>
      <w:r w:rsidRPr="00892271">
        <w:rPr>
          <w:rFonts w:ascii="Helvetica" w:eastAsia="Times New Roman" w:hAnsi="Helvetica" w:cs="Times New Roman"/>
          <w:color w:val="000000"/>
          <w:sz w:val="18"/>
          <w:szCs w:val="18"/>
          <w:u w:val="single"/>
        </w:rPr>
        <w:t>no money</w:t>
      </w:r>
      <w:r w:rsidRPr="00892271">
        <w:rPr>
          <w:rFonts w:ascii="Helvetica" w:eastAsia="Times New Roman" w:hAnsi="Helvetica" w:cs="Times New Roman"/>
          <w:color w:val="000000"/>
          <w:sz w:val="18"/>
          <w:szCs w:val="18"/>
        </w:rPr>
        <w:t> passes through the treasurer's hands and so the claim does not count as</w:t>
      </w:r>
      <w:r>
        <w:rPr>
          <w:rFonts w:ascii="Helvetica" w:eastAsia="Times New Roman" w:hAnsi="Helvetica" w:cs="Times New Roman"/>
          <w:color w:val="000000"/>
          <w:sz w:val="18"/>
          <w:szCs w:val="18"/>
        </w:rPr>
        <w:t xml:space="preserve"> income.  Our </w:t>
      </w:r>
      <w:r w:rsidRPr="00892271">
        <w:rPr>
          <w:rFonts w:ascii="Helvetica" w:eastAsia="Times New Roman" w:hAnsi="Helvetica" w:cs="Times New Roman"/>
          <w:color w:val="000000"/>
          <w:sz w:val="18"/>
          <w:szCs w:val="18"/>
        </w:rPr>
        <w:t xml:space="preserve">advice </w:t>
      </w:r>
      <w:r>
        <w:rPr>
          <w:rFonts w:ascii="Helvetica" w:eastAsia="Times New Roman" w:hAnsi="Helvetica" w:cs="Times New Roman"/>
          <w:color w:val="000000"/>
          <w:sz w:val="18"/>
          <w:szCs w:val="18"/>
        </w:rPr>
        <w:t>is</w:t>
      </w:r>
      <w:r w:rsidRPr="00892271">
        <w:rPr>
          <w:rFonts w:ascii="Helvetica" w:eastAsia="Times New Roman" w:hAnsi="Helvetica" w:cs="Times New Roman"/>
          <w:color w:val="000000"/>
          <w:sz w:val="18"/>
          <w:szCs w:val="18"/>
        </w:rPr>
        <w:t xml:space="preserve"> that if </w:t>
      </w:r>
      <w:r>
        <w:rPr>
          <w:rFonts w:ascii="Helvetica" w:eastAsia="Times New Roman" w:hAnsi="Helvetica" w:cs="Times New Roman"/>
          <w:color w:val="000000"/>
          <w:sz w:val="18"/>
          <w:szCs w:val="18"/>
        </w:rPr>
        <w:t>your</w:t>
      </w:r>
      <w:r w:rsidRPr="00892271">
        <w:rPr>
          <w:rFonts w:ascii="Helvetica" w:eastAsia="Times New Roman" w:hAnsi="Helvetica" w:cs="Times New Roman"/>
          <w:color w:val="000000"/>
          <w:sz w:val="18"/>
          <w:szCs w:val="18"/>
        </w:rPr>
        <w:t xml:space="preserve"> "non-endowment" insurance claims are settled direct by the insurer</w:t>
      </w:r>
      <w:r>
        <w:rPr>
          <w:rFonts w:ascii="Helvetica" w:eastAsia="Times New Roman" w:hAnsi="Helvetica" w:cs="Times New Roman"/>
          <w:color w:val="000000"/>
          <w:sz w:val="18"/>
          <w:szCs w:val="18"/>
        </w:rPr>
        <w:t xml:space="preserve">, </w:t>
      </w:r>
      <w:r w:rsidRPr="00892271">
        <w:rPr>
          <w:rFonts w:ascii="Helvetica" w:eastAsia="Times New Roman" w:hAnsi="Helvetica" w:cs="Times New Roman"/>
          <w:color w:val="000000"/>
          <w:sz w:val="18"/>
          <w:szCs w:val="18"/>
        </w:rPr>
        <w:t>they will not feature in the R&amp;P account, whereas</w:t>
      </w:r>
      <w:r>
        <w:rPr>
          <w:rFonts w:ascii="Helvetica" w:eastAsia="Times New Roman" w:hAnsi="Helvetica" w:cs="Times New Roman"/>
          <w:color w:val="000000"/>
          <w:sz w:val="18"/>
          <w:szCs w:val="18"/>
        </w:rPr>
        <w:t>,</w:t>
      </w:r>
      <w:r w:rsidRPr="00892271">
        <w:rPr>
          <w:rFonts w:ascii="Helvetica" w:eastAsia="Times New Roman" w:hAnsi="Helvetica" w:cs="Times New Roman"/>
          <w:color w:val="000000"/>
          <w:sz w:val="18"/>
          <w:szCs w:val="18"/>
        </w:rPr>
        <w:t xml:space="preserve"> if </w:t>
      </w:r>
      <w:r>
        <w:rPr>
          <w:rFonts w:ascii="Helvetica" w:eastAsia="Times New Roman" w:hAnsi="Helvetica" w:cs="Times New Roman"/>
          <w:color w:val="000000"/>
          <w:sz w:val="18"/>
          <w:szCs w:val="18"/>
        </w:rPr>
        <w:t>you</w:t>
      </w:r>
      <w:r w:rsidRPr="00892271">
        <w:rPr>
          <w:rFonts w:ascii="Helvetica" w:eastAsia="Times New Roman" w:hAnsi="Helvetica" w:cs="Times New Roman"/>
          <w:color w:val="000000"/>
          <w:sz w:val="18"/>
          <w:szCs w:val="18"/>
        </w:rPr>
        <w:t xml:space="preserve"> accept a sum of money from the insurer and then use it to pay for repairs/replacements, </w:t>
      </w:r>
      <w:r>
        <w:rPr>
          <w:rFonts w:ascii="Helvetica" w:eastAsia="Times New Roman" w:hAnsi="Helvetica" w:cs="Times New Roman"/>
          <w:color w:val="000000"/>
          <w:sz w:val="18"/>
          <w:szCs w:val="18"/>
        </w:rPr>
        <w:t>you</w:t>
      </w:r>
      <w:r w:rsidRPr="00892271">
        <w:rPr>
          <w:rFonts w:ascii="Helvetica" w:eastAsia="Times New Roman" w:hAnsi="Helvetica" w:cs="Times New Roman"/>
          <w:color w:val="000000"/>
          <w:sz w:val="18"/>
          <w:szCs w:val="18"/>
        </w:rPr>
        <w:t xml:space="preserve"> cannot properly omit the receipt. </w:t>
      </w:r>
    </w:p>
    <w:p w14:paraId="6AE82313" w14:textId="77777777" w:rsidR="00892271" w:rsidRPr="00892271" w:rsidRDefault="00892271" w:rsidP="00892271">
      <w:pPr>
        <w:rPr>
          <w:rFonts w:ascii="Helvetica" w:eastAsia="Times New Roman" w:hAnsi="Helvetica" w:cs="Times New Roman"/>
          <w:color w:val="000000"/>
          <w:sz w:val="18"/>
          <w:szCs w:val="18"/>
        </w:rPr>
      </w:pPr>
    </w:p>
    <w:p w14:paraId="66968683" w14:textId="77777777" w:rsidR="00892271" w:rsidRPr="00892271" w:rsidRDefault="00892271" w:rsidP="00892271">
      <w:pPr>
        <w:rPr>
          <w:rFonts w:ascii="Helvetica" w:eastAsia="Times New Roman" w:hAnsi="Helvetica" w:cs="Times New Roman"/>
          <w:color w:val="000000"/>
          <w:sz w:val="18"/>
          <w:szCs w:val="18"/>
        </w:rPr>
      </w:pPr>
      <w:r w:rsidRPr="00892271">
        <w:rPr>
          <w:rFonts w:ascii="Helvetica" w:eastAsia="Times New Roman" w:hAnsi="Helvetica" w:cs="Times New Roman"/>
          <w:color w:val="000000"/>
          <w:sz w:val="18"/>
          <w:szCs w:val="18"/>
        </w:rPr>
        <w:t xml:space="preserve">The R&amp;P rules are rudimentary and totally "factual", in that all money received as belonging to a charity must be recorded gross, just as all payments made by the charity out of its own monies must also be recorded gross. Where such receipts and payments are related to each other, they cannot be omitted as cancelling each other out. Instead, that relationship should be indicated in the R&amp;P account. That cannot be done by deducting the related payment from the figure for total receipts, nor </w:t>
      </w:r>
      <w:r w:rsidRPr="00892271">
        <w:rPr>
          <w:rFonts w:ascii="Helvetica" w:eastAsia="Times New Roman" w:hAnsi="Helvetica" w:cs="Times New Roman"/>
          <w:i/>
          <w:color w:val="000000"/>
          <w:sz w:val="18"/>
          <w:szCs w:val="18"/>
        </w:rPr>
        <w:t>vice versa.</w:t>
      </w:r>
      <w:r w:rsidRPr="00892271">
        <w:rPr>
          <w:rFonts w:ascii="Helvetica" w:eastAsia="Times New Roman" w:hAnsi="Helvetica" w:cs="Times New Roman"/>
          <w:color w:val="000000"/>
          <w:sz w:val="18"/>
          <w:szCs w:val="18"/>
        </w:rPr>
        <w:t xml:space="preserve"> - </w:t>
      </w:r>
    </w:p>
    <w:p w14:paraId="37B33E1C" w14:textId="77777777" w:rsidR="00892271" w:rsidRPr="00892271" w:rsidRDefault="00892271" w:rsidP="00892271">
      <w:pPr>
        <w:rPr>
          <w:rFonts w:ascii="Helvetica" w:eastAsia="Times New Roman" w:hAnsi="Helvetica" w:cs="Times New Roman"/>
          <w:color w:val="000000"/>
          <w:sz w:val="18"/>
          <w:szCs w:val="18"/>
        </w:rPr>
      </w:pPr>
    </w:p>
    <w:p w14:paraId="72628EF0" w14:textId="39190EC4" w:rsidR="00892271" w:rsidRPr="00892271" w:rsidRDefault="00892271" w:rsidP="00892271">
      <w:pPr>
        <w:rPr>
          <w:rFonts w:ascii="Helvetica" w:eastAsia="Times New Roman" w:hAnsi="Helvetica" w:cs="Times New Roman"/>
          <w:color w:val="000000"/>
          <w:sz w:val="18"/>
          <w:szCs w:val="18"/>
        </w:rPr>
      </w:pPr>
      <w:r w:rsidRPr="00892271">
        <w:rPr>
          <w:rFonts w:ascii="Helvetica" w:eastAsia="Times New Roman" w:hAnsi="Helvetica" w:cs="Times New Roman"/>
          <w:color w:val="000000"/>
          <w:sz w:val="18"/>
          <w:szCs w:val="18"/>
        </w:rPr>
        <w:t xml:space="preserve">It is different with accounts prepared under the SORP. There, the CC interprets "gross income" as the total of the first section of the </w:t>
      </w:r>
      <w:proofErr w:type="spellStart"/>
      <w:r w:rsidRPr="00892271">
        <w:rPr>
          <w:rFonts w:ascii="Helvetica" w:eastAsia="Times New Roman" w:hAnsi="Helvetica" w:cs="Times New Roman"/>
          <w:color w:val="000000"/>
          <w:sz w:val="18"/>
          <w:szCs w:val="18"/>
        </w:rPr>
        <w:t>SoFA's</w:t>
      </w:r>
      <w:proofErr w:type="spellEnd"/>
      <w:r w:rsidRPr="00892271">
        <w:rPr>
          <w:rFonts w:ascii="Helvetica" w:eastAsia="Times New Roman" w:hAnsi="Helvetica" w:cs="Times New Roman"/>
          <w:color w:val="000000"/>
          <w:sz w:val="18"/>
          <w:szCs w:val="18"/>
        </w:rPr>
        <w:t xml:space="preserve"> income column(s) (disregarding any disposal gains on functional assets - normally included on the "other income" line). Within the FRS102 rules for accruals-accounting, the only insurance claims that fall into the top section of the </w:t>
      </w:r>
      <w:proofErr w:type="spellStart"/>
      <w:r w:rsidRPr="00892271">
        <w:rPr>
          <w:rFonts w:ascii="Helvetica" w:eastAsia="Times New Roman" w:hAnsi="Helvetica" w:cs="Times New Roman"/>
          <w:color w:val="000000"/>
          <w:sz w:val="18"/>
          <w:szCs w:val="18"/>
        </w:rPr>
        <w:t>SoFA</w:t>
      </w:r>
      <w:proofErr w:type="spellEnd"/>
      <w:r w:rsidRPr="00892271">
        <w:rPr>
          <w:rFonts w:ascii="Helvetica" w:eastAsia="Times New Roman" w:hAnsi="Helvetica" w:cs="Times New Roman"/>
          <w:color w:val="000000"/>
          <w:sz w:val="18"/>
          <w:szCs w:val="18"/>
        </w:rPr>
        <w:t xml:space="preserve"> will be those which compensate for lost income</w:t>
      </w:r>
      <w:r>
        <w:rPr>
          <w:rFonts w:ascii="Helvetica" w:eastAsia="Times New Roman" w:hAnsi="Helvetica" w:cs="Times New Roman"/>
          <w:color w:val="000000"/>
          <w:sz w:val="18"/>
          <w:szCs w:val="18"/>
        </w:rPr>
        <w:t xml:space="preserve"> (unlikely for a church</w:t>
      </w:r>
      <w:r w:rsidRPr="00892271">
        <w:rPr>
          <w:rFonts w:ascii="Helvetica" w:eastAsia="Times New Roman" w:hAnsi="Helvetica" w:cs="Times New Roman"/>
          <w:color w:val="000000"/>
          <w:sz w:val="18"/>
          <w:szCs w:val="18"/>
        </w:rPr>
        <w:t>) or else which represent a disposal gain on a functional fixed asset that has been written off as lost or scrapped (</w:t>
      </w:r>
      <w:proofErr w:type="spellStart"/>
      <w:r w:rsidRPr="00892271">
        <w:rPr>
          <w:rFonts w:ascii="Helvetica" w:eastAsia="Times New Roman" w:hAnsi="Helvetica" w:cs="Times New Roman"/>
          <w:i/>
          <w:color w:val="000000"/>
          <w:sz w:val="18"/>
          <w:szCs w:val="18"/>
        </w:rPr>
        <w:t>ie</w:t>
      </w:r>
      <w:proofErr w:type="spellEnd"/>
      <w:r w:rsidRPr="00892271">
        <w:rPr>
          <w:rFonts w:ascii="Helvetica" w:eastAsia="Times New Roman" w:hAnsi="Helvetica" w:cs="Times New Roman"/>
          <w:color w:val="000000"/>
          <w:sz w:val="18"/>
          <w:szCs w:val="18"/>
        </w:rPr>
        <w:t>, damaged beyond repair). In SORP accounts, it makes no difference whether the insurer or the charity pays for repairs/replacements of assets belonging to an income fund, as long as the replacement does not involve "improvement" - as in the case of the well-known "new-for-old" insurance cover for buildings/furniture, etc. </w:t>
      </w:r>
    </w:p>
    <w:p w14:paraId="4A127410" w14:textId="77777777" w:rsidR="00892271" w:rsidRPr="00892271" w:rsidRDefault="00892271" w:rsidP="00892271">
      <w:pPr>
        <w:rPr>
          <w:rFonts w:ascii="Helvetica" w:eastAsia="Times New Roman" w:hAnsi="Helvetica" w:cs="Times New Roman"/>
          <w:color w:val="000000"/>
          <w:sz w:val="18"/>
          <w:szCs w:val="18"/>
        </w:rPr>
      </w:pPr>
    </w:p>
    <w:p w14:paraId="40FB72CA" w14:textId="6258616F" w:rsidR="00892271" w:rsidRPr="00892271" w:rsidRDefault="00892271" w:rsidP="00892271">
      <w:pPr>
        <w:rPr>
          <w:rFonts w:ascii="Helvetica" w:eastAsia="Times New Roman" w:hAnsi="Helvetica" w:cs="Times New Roman"/>
          <w:color w:val="000000"/>
          <w:sz w:val="18"/>
          <w:szCs w:val="18"/>
        </w:rPr>
      </w:pPr>
      <w:r w:rsidRPr="00892271">
        <w:rPr>
          <w:rFonts w:ascii="Helvetica" w:eastAsia="Times New Roman" w:hAnsi="Helvetica" w:cs="Times New Roman"/>
          <w:color w:val="000000"/>
          <w:sz w:val="18"/>
          <w:szCs w:val="18"/>
        </w:rPr>
        <w:t xml:space="preserve">In other words, any costs incurred by a charity for the mere repair or value-for-value replacement of an insured asset will normally come out of the insurance claim monies by "set-off", leaving nothing to be recorded as income in the </w:t>
      </w:r>
      <w:proofErr w:type="spellStart"/>
      <w:r w:rsidRPr="00892271">
        <w:rPr>
          <w:rFonts w:ascii="Helvetica" w:eastAsia="Times New Roman" w:hAnsi="Helvetica" w:cs="Times New Roman"/>
          <w:color w:val="000000"/>
          <w:sz w:val="18"/>
          <w:szCs w:val="18"/>
        </w:rPr>
        <w:t>SoFA</w:t>
      </w:r>
      <w:proofErr w:type="spellEnd"/>
      <w:r w:rsidRPr="00892271">
        <w:rPr>
          <w:rFonts w:ascii="Helvetica" w:eastAsia="Times New Roman" w:hAnsi="Helvetica" w:cs="Times New Roman"/>
          <w:color w:val="000000"/>
          <w:sz w:val="18"/>
          <w:szCs w:val="18"/>
        </w:rPr>
        <w:t xml:space="preserve"> - as distinct from a "new-for-old" insurance claim, where the improvement element of the claim will need to be accounted for as a disposal gain on the "other income" line of the </w:t>
      </w:r>
      <w:proofErr w:type="spellStart"/>
      <w:r w:rsidRPr="00892271">
        <w:rPr>
          <w:rFonts w:ascii="Helvetica" w:eastAsia="Times New Roman" w:hAnsi="Helvetica" w:cs="Times New Roman"/>
          <w:color w:val="000000"/>
          <w:sz w:val="18"/>
          <w:szCs w:val="18"/>
        </w:rPr>
        <w:t>SoFA's</w:t>
      </w:r>
      <w:proofErr w:type="spellEnd"/>
      <w:r w:rsidRPr="00892271">
        <w:rPr>
          <w:rFonts w:ascii="Helvetica" w:eastAsia="Times New Roman" w:hAnsi="Helvetica" w:cs="Times New Roman"/>
          <w:color w:val="000000"/>
          <w:sz w:val="18"/>
          <w:szCs w:val="18"/>
        </w:rPr>
        <w:t xml:space="preserve"> first section. </w:t>
      </w:r>
      <w:r>
        <w:rPr>
          <w:rFonts w:ascii="Helvetica" w:eastAsia="Times New Roman" w:hAnsi="Helvetica" w:cs="Times New Roman"/>
          <w:color w:val="000000"/>
          <w:sz w:val="18"/>
          <w:szCs w:val="18"/>
        </w:rPr>
        <w:t xml:space="preserve"> </w:t>
      </w:r>
      <w:r w:rsidRPr="00892271">
        <w:rPr>
          <w:rFonts w:ascii="Helvetica" w:eastAsia="Times New Roman" w:hAnsi="Helvetica" w:cs="Times New Roman"/>
          <w:color w:val="000000"/>
          <w:sz w:val="18"/>
          <w:szCs w:val="18"/>
        </w:rPr>
        <w:t>Conversely, in the event of "under-insurance"</w:t>
      </w:r>
      <w:r>
        <w:rPr>
          <w:rFonts w:ascii="Helvetica" w:eastAsia="Times New Roman" w:hAnsi="Helvetica" w:cs="Times New Roman"/>
          <w:color w:val="000000"/>
          <w:sz w:val="18"/>
          <w:szCs w:val="18"/>
        </w:rPr>
        <w:t xml:space="preserve"> sometimes called ‘average’</w:t>
      </w:r>
      <w:r w:rsidRPr="00892271">
        <w:rPr>
          <w:rFonts w:ascii="Helvetica" w:eastAsia="Times New Roman" w:hAnsi="Helvetica" w:cs="Times New Roman"/>
          <w:color w:val="000000"/>
          <w:sz w:val="18"/>
          <w:szCs w:val="18"/>
        </w:rPr>
        <w:t xml:space="preserve">, </w:t>
      </w:r>
      <w:proofErr w:type="spellStart"/>
      <w:r w:rsidRPr="00892271">
        <w:rPr>
          <w:rFonts w:ascii="Helvetica" w:eastAsia="Times New Roman" w:hAnsi="Helvetica" w:cs="Times New Roman"/>
          <w:i/>
          <w:color w:val="000000"/>
          <w:sz w:val="18"/>
          <w:szCs w:val="18"/>
        </w:rPr>
        <w:t>ie</w:t>
      </w:r>
      <w:proofErr w:type="spellEnd"/>
      <w:r w:rsidRPr="00892271">
        <w:rPr>
          <w:rFonts w:ascii="Helvetica" w:eastAsia="Times New Roman" w:hAnsi="Helvetica" w:cs="Times New Roman"/>
          <w:color w:val="000000"/>
          <w:sz w:val="18"/>
          <w:szCs w:val="18"/>
        </w:rPr>
        <w:t xml:space="preserve">, where some repair costs have to be borne by the insured, those excess costs will be expensed in the </w:t>
      </w:r>
      <w:proofErr w:type="spellStart"/>
      <w:r w:rsidRPr="00892271">
        <w:rPr>
          <w:rFonts w:ascii="Helvetica" w:eastAsia="Times New Roman" w:hAnsi="Helvetica" w:cs="Times New Roman"/>
          <w:color w:val="000000"/>
          <w:sz w:val="18"/>
          <w:szCs w:val="18"/>
        </w:rPr>
        <w:t>SoFA</w:t>
      </w:r>
      <w:proofErr w:type="spellEnd"/>
      <w:r w:rsidRPr="00892271">
        <w:rPr>
          <w:rFonts w:ascii="Helvetica" w:eastAsia="Times New Roman" w:hAnsi="Helvetica" w:cs="Times New Roman"/>
          <w:color w:val="000000"/>
          <w:sz w:val="18"/>
          <w:szCs w:val="18"/>
        </w:rPr>
        <w:t>, and similarly for the insurance shortfall where a written-off asset is replaced (without improvement, which for a functional fixed asset would potentially have to be capitalised) partly at the insured's own expense, since that excess will count as impairment. </w:t>
      </w:r>
    </w:p>
    <w:p w14:paraId="096F7538" w14:textId="77777777" w:rsidR="00892271" w:rsidRPr="00892271" w:rsidRDefault="00892271" w:rsidP="00892271">
      <w:pPr>
        <w:rPr>
          <w:rFonts w:ascii="Helvetica" w:eastAsia="Times New Roman" w:hAnsi="Helvetica" w:cs="Times New Roman"/>
          <w:color w:val="000000"/>
          <w:sz w:val="18"/>
          <w:szCs w:val="18"/>
        </w:rPr>
      </w:pPr>
    </w:p>
    <w:p w14:paraId="13F0A3E9" w14:textId="77777777" w:rsidR="00892271" w:rsidRPr="00892271" w:rsidRDefault="00892271" w:rsidP="00892271">
      <w:pPr>
        <w:rPr>
          <w:rFonts w:ascii="Helvetica" w:eastAsia="Times New Roman" w:hAnsi="Helvetica" w:cs="Times New Roman"/>
          <w:color w:val="000000"/>
          <w:sz w:val="18"/>
          <w:szCs w:val="18"/>
        </w:rPr>
      </w:pPr>
      <w:r w:rsidRPr="00892271">
        <w:rPr>
          <w:rFonts w:ascii="Helvetica" w:eastAsia="Times New Roman" w:hAnsi="Helvetica" w:cs="Times New Roman"/>
          <w:color w:val="000000"/>
          <w:sz w:val="18"/>
          <w:szCs w:val="18"/>
        </w:rPr>
        <w:t>This then properly reflects the 'substance' of the insurance contract, under which the insured is "indemnified" by the insurer for any costs arising from incidents within the risks covered by the insurance policy.</w:t>
      </w:r>
    </w:p>
    <w:p w14:paraId="11CCEED3" w14:textId="77777777" w:rsidR="00892271" w:rsidRPr="00892271" w:rsidRDefault="00892271" w:rsidP="00892271">
      <w:pPr>
        <w:rPr>
          <w:rFonts w:ascii="Helvetica" w:eastAsia="Times New Roman" w:hAnsi="Helvetica" w:cs="Times New Roman"/>
          <w:color w:val="000000"/>
          <w:sz w:val="18"/>
          <w:szCs w:val="18"/>
        </w:rPr>
      </w:pPr>
    </w:p>
    <w:p w14:paraId="7DF2CB92" w14:textId="74572DB6" w:rsidR="00892271" w:rsidRPr="00892271" w:rsidRDefault="00892271" w:rsidP="00892271">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If you</w:t>
      </w:r>
      <w:r w:rsidRPr="00892271">
        <w:rPr>
          <w:rFonts w:ascii="Helvetica" w:eastAsia="Times New Roman" w:hAnsi="Helvetica" w:cs="Times New Roman"/>
          <w:color w:val="000000"/>
          <w:sz w:val="18"/>
          <w:szCs w:val="18"/>
        </w:rPr>
        <w:t xml:space="preserve"> have a substantial insurance claim to account for and are</w:t>
      </w:r>
      <w:r>
        <w:rPr>
          <w:rFonts w:ascii="Helvetica" w:eastAsia="Times New Roman" w:hAnsi="Helvetica" w:cs="Times New Roman"/>
          <w:color w:val="000000"/>
          <w:sz w:val="18"/>
          <w:szCs w:val="18"/>
        </w:rPr>
        <w:t xml:space="preserve"> nearing a regulatory threshold, contact MCH or ACAT for advice.</w:t>
      </w:r>
    </w:p>
    <w:p w14:paraId="6678A5B6" w14:textId="77777777" w:rsidR="00892271" w:rsidRPr="00892271" w:rsidRDefault="00892271" w:rsidP="00892271">
      <w:pPr>
        <w:rPr>
          <w:rFonts w:ascii="Times New Roman" w:eastAsia="Times New Roman" w:hAnsi="Times New Roman" w:cs="Times New Roman"/>
          <w:sz w:val="20"/>
          <w:szCs w:val="20"/>
        </w:rPr>
      </w:pPr>
    </w:p>
    <w:p w14:paraId="35F3B949" w14:textId="77777777" w:rsidR="00892271" w:rsidRDefault="00892271">
      <w:pPr>
        <w:ind w:left="720" w:hanging="720"/>
        <w:rPr>
          <w:rFonts w:ascii="Arial" w:hAnsi="Arial" w:cs="Arial"/>
          <w:lang w:val="en-US"/>
        </w:rPr>
      </w:pPr>
    </w:p>
    <w:p w14:paraId="37DEDAF6" w14:textId="77777777" w:rsidR="003962B3" w:rsidRDefault="003962B3">
      <w:pPr>
        <w:ind w:left="720" w:hanging="720"/>
        <w:rPr>
          <w:rFonts w:ascii="Arial" w:hAnsi="Arial" w:cs="Arial"/>
          <w:lang w:val="en-US"/>
        </w:rPr>
      </w:pPr>
    </w:p>
    <w:p w14:paraId="7B82EAB4" w14:textId="77777777" w:rsidR="003962B3" w:rsidRDefault="003962B3"/>
    <w:sectPr w:rsidR="003962B3">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3"/>
    <w:rsid w:val="00073C81"/>
    <w:rsid w:val="003962B3"/>
    <w:rsid w:val="00890906"/>
    <w:rsid w:val="00892271"/>
    <w:rsid w:val="008E46B0"/>
    <w:rsid w:val="00C46729"/>
    <w:rsid w:val="00E20E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5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70338"/>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rsid w:val="00E20E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20E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70338"/>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rsid w:val="00E20E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20E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66">
      <w:bodyDiv w:val="1"/>
      <w:marLeft w:val="0"/>
      <w:marRight w:val="0"/>
      <w:marTop w:val="0"/>
      <w:marBottom w:val="0"/>
      <w:divBdr>
        <w:top w:val="none" w:sz="0" w:space="0" w:color="auto"/>
        <w:left w:val="none" w:sz="0" w:space="0" w:color="auto"/>
        <w:bottom w:val="none" w:sz="0" w:space="0" w:color="auto"/>
        <w:right w:val="none" w:sz="0" w:space="0" w:color="auto"/>
      </w:divBdr>
      <w:divsChild>
        <w:div w:id="583295996">
          <w:marLeft w:val="0"/>
          <w:marRight w:val="0"/>
          <w:marTop w:val="0"/>
          <w:marBottom w:val="0"/>
          <w:divBdr>
            <w:top w:val="none" w:sz="0" w:space="0" w:color="auto"/>
            <w:left w:val="none" w:sz="0" w:space="0" w:color="auto"/>
            <w:bottom w:val="none" w:sz="0" w:space="0" w:color="auto"/>
            <w:right w:val="none" w:sz="0" w:space="0" w:color="auto"/>
          </w:divBdr>
        </w:div>
        <w:div w:id="1320158314">
          <w:marLeft w:val="0"/>
          <w:marRight w:val="0"/>
          <w:marTop w:val="0"/>
          <w:marBottom w:val="0"/>
          <w:divBdr>
            <w:top w:val="none" w:sz="0" w:space="0" w:color="auto"/>
            <w:left w:val="none" w:sz="0" w:space="0" w:color="auto"/>
            <w:bottom w:val="none" w:sz="0" w:space="0" w:color="auto"/>
            <w:right w:val="none" w:sz="0" w:space="0" w:color="auto"/>
          </w:divBdr>
        </w:div>
        <w:div w:id="1396735894">
          <w:marLeft w:val="0"/>
          <w:marRight w:val="0"/>
          <w:marTop w:val="0"/>
          <w:marBottom w:val="0"/>
          <w:divBdr>
            <w:top w:val="none" w:sz="0" w:space="0" w:color="auto"/>
            <w:left w:val="none" w:sz="0" w:space="0" w:color="auto"/>
            <w:bottom w:val="none" w:sz="0" w:space="0" w:color="auto"/>
            <w:right w:val="none" w:sz="0" w:space="0" w:color="auto"/>
          </w:divBdr>
        </w:div>
        <w:div w:id="1117872835">
          <w:marLeft w:val="0"/>
          <w:marRight w:val="0"/>
          <w:marTop w:val="0"/>
          <w:marBottom w:val="0"/>
          <w:divBdr>
            <w:top w:val="none" w:sz="0" w:space="0" w:color="auto"/>
            <w:left w:val="none" w:sz="0" w:space="0" w:color="auto"/>
            <w:bottom w:val="none" w:sz="0" w:space="0" w:color="auto"/>
            <w:right w:val="none" w:sz="0" w:space="0" w:color="auto"/>
          </w:divBdr>
        </w:div>
        <w:div w:id="1961956388">
          <w:marLeft w:val="0"/>
          <w:marRight w:val="0"/>
          <w:marTop w:val="0"/>
          <w:marBottom w:val="0"/>
          <w:divBdr>
            <w:top w:val="none" w:sz="0" w:space="0" w:color="auto"/>
            <w:left w:val="none" w:sz="0" w:space="0" w:color="auto"/>
            <w:bottom w:val="none" w:sz="0" w:space="0" w:color="auto"/>
            <w:right w:val="none" w:sz="0" w:space="0" w:color="auto"/>
          </w:divBdr>
        </w:div>
        <w:div w:id="703864246">
          <w:marLeft w:val="0"/>
          <w:marRight w:val="0"/>
          <w:marTop w:val="0"/>
          <w:marBottom w:val="0"/>
          <w:divBdr>
            <w:top w:val="none" w:sz="0" w:space="0" w:color="auto"/>
            <w:left w:val="none" w:sz="0" w:space="0" w:color="auto"/>
            <w:bottom w:val="none" w:sz="0" w:space="0" w:color="auto"/>
            <w:right w:val="none" w:sz="0" w:space="0" w:color="auto"/>
          </w:divBdr>
        </w:div>
        <w:div w:id="1891649637">
          <w:marLeft w:val="0"/>
          <w:marRight w:val="0"/>
          <w:marTop w:val="0"/>
          <w:marBottom w:val="0"/>
          <w:divBdr>
            <w:top w:val="none" w:sz="0" w:space="0" w:color="auto"/>
            <w:left w:val="none" w:sz="0" w:space="0" w:color="auto"/>
            <w:bottom w:val="none" w:sz="0" w:space="0" w:color="auto"/>
            <w:right w:val="none" w:sz="0" w:space="0" w:color="auto"/>
          </w:divBdr>
        </w:div>
        <w:div w:id="1584337275">
          <w:marLeft w:val="0"/>
          <w:marRight w:val="0"/>
          <w:marTop w:val="0"/>
          <w:marBottom w:val="0"/>
          <w:divBdr>
            <w:top w:val="none" w:sz="0" w:space="0" w:color="auto"/>
            <w:left w:val="none" w:sz="0" w:space="0" w:color="auto"/>
            <w:bottom w:val="none" w:sz="0" w:space="0" w:color="auto"/>
            <w:right w:val="none" w:sz="0" w:space="0" w:color="auto"/>
          </w:divBdr>
        </w:div>
        <w:div w:id="516581546">
          <w:marLeft w:val="0"/>
          <w:marRight w:val="0"/>
          <w:marTop w:val="0"/>
          <w:marBottom w:val="0"/>
          <w:divBdr>
            <w:top w:val="none" w:sz="0" w:space="0" w:color="auto"/>
            <w:left w:val="none" w:sz="0" w:space="0" w:color="auto"/>
            <w:bottom w:val="none" w:sz="0" w:space="0" w:color="auto"/>
            <w:right w:val="none" w:sz="0" w:space="0" w:color="auto"/>
          </w:divBdr>
        </w:div>
        <w:div w:id="1990787895">
          <w:marLeft w:val="0"/>
          <w:marRight w:val="0"/>
          <w:marTop w:val="0"/>
          <w:marBottom w:val="0"/>
          <w:divBdr>
            <w:top w:val="none" w:sz="0" w:space="0" w:color="auto"/>
            <w:left w:val="none" w:sz="0" w:space="0" w:color="auto"/>
            <w:bottom w:val="none" w:sz="0" w:space="0" w:color="auto"/>
            <w:right w:val="none" w:sz="0" w:space="0" w:color="auto"/>
          </w:divBdr>
        </w:div>
        <w:div w:id="156533160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932</Words>
  <Characters>5316</Characters>
  <Application>Microsoft Macintosh Word</Application>
  <DocSecurity>0</DocSecurity>
  <Lines>44</Lines>
  <Paragraphs>12</Paragraphs>
  <ScaleCrop>false</ScaleCrop>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dc:description/>
  <cp:lastModifiedBy>John Chastney</cp:lastModifiedBy>
  <cp:revision>4</cp:revision>
  <dcterms:created xsi:type="dcterms:W3CDTF">2019-09-10T10:53:00Z</dcterms:created>
  <dcterms:modified xsi:type="dcterms:W3CDTF">2019-09-10T19:58:00Z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