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F46B1" w14:textId="77777777" w:rsidR="00B80E94" w:rsidRDefault="00B80E94" w:rsidP="0003655D">
      <w:pPr>
        <w:tabs>
          <w:tab w:val="left" w:pos="426"/>
          <w:tab w:val="left" w:pos="1418"/>
        </w:tabs>
        <w:ind w:left="1418" w:right="-22" w:hanging="1418"/>
        <w:rPr>
          <w:b/>
          <w:color w:val="000000" w:themeColor="text1"/>
          <w:sz w:val="24"/>
          <w:szCs w:val="24"/>
        </w:rPr>
      </w:pPr>
    </w:p>
    <w:p w14:paraId="19C640C9" w14:textId="77777777" w:rsidR="00B80E94" w:rsidRDefault="00B80E94" w:rsidP="0003655D">
      <w:pPr>
        <w:tabs>
          <w:tab w:val="left" w:pos="426"/>
          <w:tab w:val="left" w:pos="1418"/>
        </w:tabs>
        <w:ind w:left="1418" w:right="-22" w:hanging="1418"/>
        <w:rPr>
          <w:b/>
          <w:color w:val="000000" w:themeColor="text1"/>
          <w:sz w:val="24"/>
          <w:szCs w:val="24"/>
        </w:rPr>
      </w:pPr>
    </w:p>
    <w:p w14:paraId="44D10B3F" w14:textId="6A2FF203" w:rsidR="00127917" w:rsidRDefault="00127917" w:rsidP="00B80E94">
      <w:pPr>
        <w:tabs>
          <w:tab w:val="left" w:pos="426"/>
        </w:tabs>
        <w:ind w:left="6" w:right="-22"/>
        <w:rPr>
          <w:i/>
          <w:color w:val="000000" w:themeColor="text1"/>
          <w:sz w:val="24"/>
          <w:szCs w:val="24"/>
        </w:rPr>
      </w:pPr>
      <w:r w:rsidRPr="00127917">
        <w:rPr>
          <w:i/>
          <w:color w:val="000000" w:themeColor="text1"/>
          <w:sz w:val="24"/>
          <w:szCs w:val="24"/>
        </w:rPr>
        <w:t xml:space="preserve">This is one of a number of Ancillary Papers relating to the report of the Marriage and Relationships Task Group that </w:t>
      </w:r>
      <w:proofErr w:type="gramStart"/>
      <w:r w:rsidRPr="00127917">
        <w:rPr>
          <w:i/>
          <w:color w:val="000000" w:themeColor="text1"/>
          <w:sz w:val="24"/>
          <w:szCs w:val="24"/>
        </w:rPr>
        <w:t>is being presented</w:t>
      </w:r>
      <w:proofErr w:type="gramEnd"/>
      <w:r w:rsidRPr="00127917">
        <w:rPr>
          <w:i/>
          <w:color w:val="000000" w:themeColor="text1"/>
          <w:sz w:val="24"/>
          <w:szCs w:val="24"/>
        </w:rPr>
        <w:t xml:space="preserve"> to the Methodist Conference in 2019. The report itself, entitled God in love unites us can be found and downloaded from </w:t>
      </w:r>
      <w:hyperlink r:id="rId8" w:history="1">
        <w:r w:rsidRPr="00A85207">
          <w:rPr>
            <w:rStyle w:val="Hyperlink"/>
            <w:i/>
            <w:sz w:val="24"/>
            <w:szCs w:val="24"/>
          </w:rPr>
          <w:t>www.methodist.org.uk/MandR</w:t>
        </w:r>
        <w:bookmarkStart w:id="0" w:name="_GoBack"/>
        <w:bookmarkEnd w:id="0"/>
        <w:r w:rsidRPr="00A85207">
          <w:rPr>
            <w:rStyle w:val="Hyperlink"/>
            <w:i/>
            <w:sz w:val="24"/>
            <w:szCs w:val="24"/>
          </w:rPr>
          <w:t>1</w:t>
        </w:r>
        <w:r w:rsidRPr="00A85207">
          <w:rPr>
            <w:rStyle w:val="Hyperlink"/>
            <w:i/>
            <w:sz w:val="24"/>
            <w:szCs w:val="24"/>
          </w:rPr>
          <w:t>9</w:t>
        </w:r>
      </w:hyperlink>
    </w:p>
    <w:p w14:paraId="7EC5E997" w14:textId="76375BFE" w:rsidR="00B80E94" w:rsidRDefault="00B80E94" w:rsidP="00B80E94">
      <w:pPr>
        <w:tabs>
          <w:tab w:val="left" w:pos="426"/>
        </w:tabs>
        <w:ind w:left="6" w:right="-22"/>
        <w:rPr>
          <w:i/>
          <w:color w:val="000000" w:themeColor="text1"/>
          <w:sz w:val="24"/>
          <w:szCs w:val="24"/>
        </w:rPr>
      </w:pPr>
      <w:r>
        <w:rPr>
          <w:i/>
          <w:color w:val="000000" w:themeColor="text1"/>
          <w:sz w:val="24"/>
          <w:szCs w:val="24"/>
        </w:rPr>
        <w:t xml:space="preserve">The report does not depend on these papers. They have not been presented to the Conference or approved by any formal body in the Methodist Church. They </w:t>
      </w:r>
      <w:proofErr w:type="gramStart"/>
      <w:r>
        <w:rPr>
          <w:i/>
          <w:color w:val="000000" w:themeColor="text1"/>
          <w:sz w:val="24"/>
          <w:szCs w:val="24"/>
        </w:rPr>
        <w:t>have been written</w:t>
      </w:r>
      <w:proofErr w:type="gramEnd"/>
      <w:r>
        <w:rPr>
          <w:i/>
          <w:color w:val="000000" w:themeColor="text1"/>
          <w:sz w:val="24"/>
          <w:szCs w:val="24"/>
        </w:rPr>
        <w:t xml:space="preserve"> as background papers or to help the Task Group think through some particular issues as it sought to come to a mind and develop its views in writing its report. They are not necessarily the considered view of the whole of the Task Group, but </w:t>
      </w:r>
      <w:proofErr w:type="gramStart"/>
      <w:r>
        <w:rPr>
          <w:i/>
          <w:color w:val="000000" w:themeColor="text1"/>
          <w:sz w:val="24"/>
          <w:szCs w:val="24"/>
        </w:rPr>
        <w:t>are offered</w:t>
      </w:r>
      <w:proofErr w:type="gramEnd"/>
      <w:r>
        <w:rPr>
          <w:i/>
          <w:color w:val="000000" w:themeColor="text1"/>
          <w:sz w:val="24"/>
          <w:szCs w:val="24"/>
        </w:rPr>
        <w:t xml:space="preserve"> here in the hope that some may find them stimulating, challenging or illuminating. </w:t>
      </w:r>
    </w:p>
    <w:p w14:paraId="2B988471" w14:textId="77777777" w:rsidR="00B80E94" w:rsidRDefault="00B80E94" w:rsidP="0003655D">
      <w:pPr>
        <w:tabs>
          <w:tab w:val="left" w:pos="426"/>
          <w:tab w:val="left" w:pos="1418"/>
        </w:tabs>
        <w:ind w:left="1418" w:right="-22" w:hanging="1418"/>
        <w:rPr>
          <w:b/>
          <w:color w:val="000000" w:themeColor="text1"/>
          <w:sz w:val="24"/>
          <w:szCs w:val="24"/>
        </w:rPr>
      </w:pPr>
    </w:p>
    <w:p w14:paraId="2DC52C74" w14:textId="77777777" w:rsidR="00B80E94" w:rsidRDefault="00B80E94" w:rsidP="0003655D">
      <w:pPr>
        <w:tabs>
          <w:tab w:val="left" w:pos="426"/>
          <w:tab w:val="left" w:pos="1418"/>
        </w:tabs>
        <w:ind w:left="1418" w:right="-22" w:hanging="1418"/>
        <w:rPr>
          <w:b/>
          <w:color w:val="000000" w:themeColor="text1"/>
          <w:sz w:val="24"/>
          <w:szCs w:val="24"/>
        </w:rPr>
      </w:pPr>
    </w:p>
    <w:p w14:paraId="4660F3AF" w14:textId="4E354C95" w:rsidR="00B80E94" w:rsidRDefault="00210F97" w:rsidP="00210F97">
      <w:pPr>
        <w:tabs>
          <w:tab w:val="left" w:pos="426"/>
          <w:tab w:val="left" w:pos="1418"/>
        </w:tabs>
        <w:ind w:left="1418" w:right="-22" w:hanging="1418"/>
        <w:jc w:val="center"/>
        <w:rPr>
          <w:b/>
          <w:color w:val="000000" w:themeColor="text1"/>
          <w:sz w:val="24"/>
          <w:szCs w:val="24"/>
        </w:rPr>
      </w:pPr>
      <w:r w:rsidRPr="000E07E5">
        <w:rPr>
          <w:b/>
          <w:color w:val="000000" w:themeColor="text1"/>
          <w:sz w:val="24"/>
          <w:szCs w:val="24"/>
        </w:rPr>
        <w:t>A</w:t>
      </w:r>
      <w:r>
        <w:rPr>
          <w:b/>
          <w:color w:val="000000" w:themeColor="text1"/>
          <w:sz w:val="24"/>
          <w:szCs w:val="24"/>
        </w:rPr>
        <w:t>NCILLARY PAPER D</w:t>
      </w:r>
    </w:p>
    <w:p w14:paraId="71695528" w14:textId="43CB5EB6" w:rsidR="000E07E5" w:rsidRPr="000E07E5" w:rsidRDefault="00110253" w:rsidP="008B59A3">
      <w:pPr>
        <w:tabs>
          <w:tab w:val="left" w:pos="426"/>
        </w:tabs>
        <w:ind w:right="-22"/>
        <w:jc w:val="center"/>
        <w:rPr>
          <w:b/>
          <w:color w:val="000000" w:themeColor="text1"/>
          <w:sz w:val="24"/>
          <w:szCs w:val="24"/>
        </w:rPr>
      </w:pPr>
      <w:r>
        <w:rPr>
          <w:b/>
          <w:color w:val="000000" w:themeColor="text1"/>
          <w:sz w:val="24"/>
          <w:szCs w:val="24"/>
        </w:rPr>
        <w:t xml:space="preserve">HOW </w:t>
      </w:r>
      <w:r w:rsidR="00FA5943">
        <w:rPr>
          <w:b/>
          <w:color w:val="000000" w:themeColor="text1"/>
          <w:sz w:val="24"/>
          <w:szCs w:val="24"/>
        </w:rPr>
        <w:t xml:space="preserve">THE </w:t>
      </w:r>
      <w:r>
        <w:rPr>
          <w:b/>
          <w:color w:val="000000" w:themeColor="text1"/>
          <w:sz w:val="24"/>
          <w:szCs w:val="24"/>
        </w:rPr>
        <w:t xml:space="preserve">WORK </w:t>
      </w:r>
      <w:r w:rsidR="00EF7ED9">
        <w:rPr>
          <w:b/>
          <w:color w:val="000000" w:themeColor="text1"/>
          <w:sz w:val="24"/>
          <w:szCs w:val="24"/>
        </w:rPr>
        <w:t>REQUESTED IN RECENT CON</w:t>
      </w:r>
      <w:r w:rsidR="00D8580D">
        <w:rPr>
          <w:b/>
          <w:color w:val="000000" w:themeColor="text1"/>
          <w:sz w:val="24"/>
          <w:szCs w:val="24"/>
        </w:rPr>
        <w:t xml:space="preserve">FERENCE REPORTS ON MARRIAGE AND RELATIONSHIPS </w:t>
      </w:r>
      <w:r>
        <w:rPr>
          <w:b/>
          <w:color w:val="000000" w:themeColor="text1"/>
          <w:sz w:val="24"/>
          <w:szCs w:val="24"/>
        </w:rPr>
        <w:t>IS TAKEN UP BY THE 2019 REPORT</w:t>
      </w:r>
    </w:p>
    <w:p w14:paraId="630B03ED" w14:textId="77777777" w:rsidR="009729F9" w:rsidRDefault="009729F9" w:rsidP="000E07E5">
      <w:pPr>
        <w:tabs>
          <w:tab w:val="left" w:pos="426"/>
        </w:tabs>
        <w:ind w:left="426" w:right="-22" w:hanging="426"/>
        <w:rPr>
          <w:color w:val="000000" w:themeColor="text1"/>
          <w:sz w:val="24"/>
          <w:szCs w:val="24"/>
        </w:rPr>
      </w:pPr>
    </w:p>
    <w:p w14:paraId="30A25155" w14:textId="0233CF67" w:rsidR="00784B74" w:rsidRDefault="009729F9" w:rsidP="001419E1">
      <w:pPr>
        <w:tabs>
          <w:tab w:val="left" w:pos="567"/>
        </w:tabs>
        <w:ind w:left="567" w:right="-22" w:hanging="567"/>
        <w:rPr>
          <w:color w:val="000000" w:themeColor="text1"/>
          <w:sz w:val="24"/>
          <w:szCs w:val="24"/>
        </w:rPr>
      </w:pPr>
      <w:r>
        <w:rPr>
          <w:color w:val="000000" w:themeColor="text1"/>
          <w:sz w:val="24"/>
          <w:szCs w:val="24"/>
        </w:rPr>
        <w:t>D1</w:t>
      </w:r>
      <w:r>
        <w:rPr>
          <w:color w:val="000000" w:themeColor="text1"/>
          <w:sz w:val="24"/>
          <w:szCs w:val="24"/>
        </w:rPr>
        <w:tab/>
      </w:r>
      <w:r w:rsidR="000E07E5" w:rsidRPr="000E07E5">
        <w:rPr>
          <w:color w:val="000000" w:themeColor="text1"/>
          <w:sz w:val="24"/>
          <w:szCs w:val="24"/>
        </w:rPr>
        <w:t xml:space="preserve">The task for our group </w:t>
      </w:r>
      <w:r w:rsidR="00A110A3" w:rsidRPr="000E07E5">
        <w:rPr>
          <w:color w:val="000000" w:themeColor="text1"/>
          <w:sz w:val="24"/>
          <w:szCs w:val="24"/>
        </w:rPr>
        <w:t>arose</w:t>
      </w:r>
      <w:r w:rsidR="000E07E5" w:rsidRPr="000E07E5">
        <w:rPr>
          <w:color w:val="000000" w:themeColor="text1"/>
          <w:sz w:val="24"/>
          <w:szCs w:val="24"/>
        </w:rPr>
        <w:t xml:space="preserve"> </w:t>
      </w:r>
      <w:r w:rsidR="00A110A3">
        <w:rPr>
          <w:color w:val="000000" w:themeColor="text1"/>
          <w:sz w:val="24"/>
          <w:szCs w:val="24"/>
        </w:rPr>
        <w:t xml:space="preserve">from </w:t>
      </w:r>
      <w:r w:rsidR="000E07E5" w:rsidRPr="000E07E5">
        <w:rPr>
          <w:color w:val="000000" w:themeColor="text1"/>
          <w:sz w:val="24"/>
          <w:szCs w:val="24"/>
        </w:rPr>
        <w:t xml:space="preserve">resolutions </w:t>
      </w:r>
      <w:r w:rsidR="00510174">
        <w:rPr>
          <w:color w:val="000000" w:themeColor="text1"/>
          <w:sz w:val="24"/>
          <w:szCs w:val="24"/>
        </w:rPr>
        <w:t xml:space="preserve">of the </w:t>
      </w:r>
      <w:r w:rsidR="000E07E5" w:rsidRPr="000E07E5">
        <w:rPr>
          <w:color w:val="000000" w:themeColor="text1"/>
          <w:sz w:val="24"/>
          <w:szCs w:val="24"/>
        </w:rPr>
        <w:t xml:space="preserve">2016 </w:t>
      </w:r>
      <w:r w:rsidR="00510174">
        <w:rPr>
          <w:color w:val="000000" w:themeColor="text1"/>
          <w:sz w:val="24"/>
          <w:szCs w:val="24"/>
        </w:rPr>
        <w:t xml:space="preserve">Conference </w:t>
      </w:r>
      <w:r w:rsidR="00B45839">
        <w:rPr>
          <w:color w:val="000000" w:themeColor="text1"/>
          <w:sz w:val="24"/>
          <w:szCs w:val="24"/>
        </w:rPr>
        <w:t xml:space="preserve">resulting from the </w:t>
      </w:r>
      <w:r w:rsidR="000E07E5" w:rsidRPr="000E07E5">
        <w:rPr>
          <w:color w:val="000000" w:themeColor="text1"/>
          <w:sz w:val="24"/>
          <w:szCs w:val="24"/>
        </w:rPr>
        <w:t xml:space="preserve">report of the then Marriage and Relationships </w:t>
      </w:r>
      <w:r w:rsidR="00D459CC">
        <w:rPr>
          <w:color w:val="000000" w:themeColor="text1"/>
          <w:sz w:val="24"/>
          <w:szCs w:val="24"/>
        </w:rPr>
        <w:t>Task Group</w:t>
      </w:r>
      <w:r w:rsidR="000E07E5" w:rsidRPr="000E07E5">
        <w:rPr>
          <w:color w:val="000000" w:themeColor="text1"/>
          <w:sz w:val="24"/>
          <w:szCs w:val="24"/>
        </w:rPr>
        <w:t>.</w:t>
      </w:r>
      <w:r w:rsidR="00AC6E76">
        <w:rPr>
          <w:rStyle w:val="FootnoteReference"/>
          <w:color w:val="000000" w:themeColor="text1"/>
          <w:sz w:val="24"/>
          <w:szCs w:val="24"/>
        </w:rPr>
        <w:footnoteReference w:id="1"/>
      </w:r>
      <w:r w:rsidR="000E07E5" w:rsidRPr="000E07E5">
        <w:rPr>
          <w:color w:val="000000" w:themeColor="text1"/>
          <w:sz w:val="24"/>
          <w:szCs w:val="24"/>
        </w:rPr>
        <w:t xml:space="preserve"> Th</w:t>
      </w:r>
      <w:r w:rsidR="00BA39D1">
        <w:rPr>
          <w:color w:val="000000" w:themeColor="text1"/>
          <w:sz w:val="24"/>
          <w:szCs w:val="24"/>
        </w:rPr>
        <w:t xml:space="preserve">at group’s </w:t>
      </w:r>
      <w:r w:rsidR="000E07E5" w:rsidRPr="000E07E5">
        <w:rPr>
          <w:color w:val="000000" w:themeColor="text1"/>
          <w:sz w:val="24"/>
          <w:szCs w:val="24"/>
        </w:rPr>
        <w:t xml:space="preserve">work in turn had come from resolutions </w:t>
      </w:r>
      <w:r w:rsidR="008E5695">
        <w:rPr>
          <w:color w:val="000000" w:themeColor="text1"/>
          <w:sz w:val="24"/>
          <w:szCs w:val="24"/>
        </w:rPr>
        <w:t xml:space="preserve">resulting </w:t>
      </w:r>
      <w:r w:rsidR="000E07E5" w:rsidRPr="000E07E5">
        <w:rPr>
          <w:color w:val="000000" w:themeColor="text1"/>
          <w:sz w:val="24"/>
          <w:szCs w:val="24"/>
        </w:rPr>
        <w:t>from the 2014 report from the Working Party on Marriage and Civil Partnerships. That working party had conduc</w:t>
      </w:r>
      <w:r w:rsidR="008E5695">
        <w:rPr>
          <w:color w:val="000000" w:themeColor="text1"/>
          <w:sz w:val="24"/>
          <w:szCs w:val="24"/>
        </w:rPr>
        <w:t>t</w:t>
      </w:r>
      <w:r w:rsidR="000E07E5" w:rsidRPr="000E07E5">
        <w:rPr>
          <w:color w:val="000000" w:themeColor="text1"/>
          <w:sz w:val="24"/>
          <w:szCs w:val="24"/>
        </w:rPr>
        <w:t xml:space="preserve">ed a consultation </w:t>
      </w:r>
      <w:r w:rsidR="008E5695">
        <w:rPr>
          <w:color w:val="000000" w:themeColor="text1"/>
          <w:sz w:val="24"/>
          <w:szCs w:val="24"/>
        </w:rPr>
        <w:t>through</w:t>
      </w:r>
      <w:r w:rsidR="00784B74">
        <w:rPr>
          <w:color w:val="000000" w:themeColor="text1"/>
          <w:sz w:val="24"/>
          <w:szCs w:val="24"/>
        </w:rPr>
        <w:t xml:space="preserve">out the Methodist Church in Britain </w:t>
      </w:r>
      <w:r w:rsidR="000E07E5" w:rsidRPr="000E07E5">
        <w:rPr>
          <w:color w:val="000000" w:themeColor="text1"/>
          <w:sz w:val="24"/>
          <w:szCs w:val="24"/>
        </w:rPr>
        <w:t>on the question of how the Methodist Church should respond to changes in legislation allowing (in England, Wales and Scotland) the solemnisation of the marriage of same sex couples.</w:t>
      </w:r>
    </w:p>
    <w:p w14:paraId="2BDBCBCC" w14:textId="5057CD3A" w:rsidR="00A110A3" w:rsidRDefault="00784B74" w:rsidP="001419E1">
      <w:pPr>
        <w:tabs>
          <w:tab w:val="left" w:pos="567"/>
        </w:tabs>
        <w:ind w:left="567" w:right="-22" w:hanging="567"/>
        <w:rPr>
          <w:color w:val="000000" w:themeColor="text1"/>
          <w:sz w:val="24"/>
          <w:szCs w:val="24"/>
        </w:rPr>
      </w:pPr>
      <w:r>
        <w:rPr>
          <w:color w:val="000000" w:themeColor="text1"/>
          <w:sz w:val="24"/>
          <w:szCs w:val="24"/>
        </w:rPr>
        <w:t>D2</w:t>
      </w:r>
      <w:r>
        <w:rPr>
          <w:color w:val="000000" w:themeColor="text1"/>
          <w:sz w:val="24"/>
          <w:szCs w:val="24"/>
        </w:rPr>
        <w:tab/>
      </w:r>
      <w:r w:rsidR="000E07E5" w:rsidRPr="000E07E5">
        <w:rPr>
          <w:color w:val="000000" w:themeColor="text1"/>
          <w:sz w:val="24"/>
          <w:szCs w:val="24"/>
        </w:rPr>
        <w:t>The 2014 Conference had passed a resolution (40/2) to urge the Methodist people “to engage with each other honestly, prayerfully and graciously” about the issues raised in the 2014 report</w:t>
      </w:r>
      <w:r w:rsidR="003944BD">
        <w:rPr>
          <w:color w:val="000000" w:themeColor="text1"/>
          <w:sz w:val="24"/>
          <w:szCs w:val="24"/>
        </w:rPr>
        <w:t xml:space="preserve">, </w:t>
      </w:r>
      <w:r w:rsidR="000E07E5" w:rsidRPr="000E07E5">
        <w:rPr>
          <w:color w:val="000000" w:themeColor="text1"/>
          <w:sz w:val="24"/>
          <w:szCs w:val="24"/>
        </w:rPr>
        <w:t xml:space="preserve">and </w:t>
      </w:r>
      <w:r w:rsidR="005A3643">
        <w:rPr>
          <w:color w:val="000000" w:themeColor="text1"/>
          <w:sz w:val="24"/>
          <w:szCs w:val="24"/>
        </w:rPr>
        <w:t xml:space="preserve">had </w:t>
      </w:r>
      <w:r w:rsidR="000E07E5" w:rsidRPr="000E07E5">
        <w:rPr>
          <w:color w:val="000000" w:themeColor="text1"/>
          <w:sz w:val="24"/>
          <w:szCs w:val="24"/>
        </w:rPr>
        <w:t xml:space="preserve">appointed a </w:t>
      </w:r>
      <w:r w:rsidR="00D459CC">
        <w:rPr>
          <w:color w:val="000000" w:themeColor="text1"/>
          <w:sz w:val="24"/>
          <w:szCs w:val="24"/>
        </w:rPr>
        <w:t>Task Group</w:t>
      </w:r>
      <w:r w:rsidR="000E07E5" w:rsidRPr="000E07E5">
        <w:rPr>
          <w:color w:val="000000" w:themeColor="text1"/>
          <w:sz w:val="24"/>
          <w:szCs w:val="24"/>
        </w:rPr>
        <w:t xml:space="preserve"> on marriage and relationships to be responsible for the implementation of that work. Resolution 40/4 </w:t>
      </w:r>
      <w:r w:rsidR="00A110A3">
        <w:rPr>
          <w:color w:val="000000" w:themeColor="text1"/>
          <w:sz w:val="24"/>
          <w:szCs w:val="24"/>
        </w:rPr>
        <w:t xml:space="preserve">included the following directions for that task group’s work: </w:t>
      </w:r>
    </w:p>
    <w:p w14:paraId="7D68DEC4" w14:textId="7CED88A7" w:rsidR="000E07E5" w:rsidRPr="00782FD6" w:rsidRDefault="00A110A3" w:rsidP="00CA1444">
      <w:pPr>
        <w:tabs>
          <w:tab w:val="left" w:pos="851"/>
        </w:tabs>
        <w:ind w:left="567" w:right="-22"/>
        <w:rPr>
          <w:color w:val="000000" w:themeColor="text1"/>
          <w:sz w:val="24"/>
          <w:szCs w:val="24"/>
        </w:rPr>
      </w:pPr>
      <w:r>
        <w:rPr>
          <w:color w:val="000000" w:themeColor="text1"/>
          <w:sz w:val="24"/>
          <w:szCs w:val="24"/>
        </w:rPr>
        <w:t xml:space="preserve"> -  </w:t>
      </w:r>
      <w:r w:rsidR="00CA1444">
        <w:rPr>
          <w:color w:val="000000" w:themeColor="text1"/>
          <w:sz w:val="24"/>
          <w:szCs w:val="24"/>
        </w:rPr>
        <w:tab/>
      </w:r>
      <w:r w:rsidR="000E07E5" w:rsidRPr="00782FD6">
        <w:rPr>
          <w:color w:val="000000" w:themeColor="text1"/>
          <w:sz w:val="24"/>
          <w:szCs w:val="24"/>
        </w:rPr>
        <w:t xml:space="preserve">explore in depth the implications arising from the divergence between the </w:t>
      </w:r>
      <w:r w:rsidR="00CA1444">
        <w:rPr>
          <w:color w:val="000000" w:themeColor="text1"/>
          <w:sz w:val="24"/>
          <w:szCs w:val="24"/>
        </w:rPr>
        <w:tab/>
      </w:r>
      <w:r w:rsidR="000E07E5" w:rsidRPr="00782FD6">
        <w:rPr>
          <w:color w:val="000000" w:themeColor="text1"/>
          <w:sz w:val="24"/>
          <w:szCs w:val="24"/>
        </w:rPr>
        <w:t xml:space="preserve">Methodist Church’s teaching on marriage and the legal definition and concept of </w:t>
      </w:r>
      <w:r w:rsidR="00CA1444">
        <w:rPr>
          <w:color w:val="000000" w:themeColor="text1"/>
          <w:sz w:val="24"/>
          <w:szCs w:val="24"/>
        </w:rPr>
        <w:tab/>
      </w:r>
      <w:r w:rsidR="000E07E5" w:rsidRPr="00782FD6">
        <w:rPr>
          <w:color w:val="000000" w:themeColor="text1"/>
          <w:sz w:val="24"/>
          <w:szCs w:val="24"/>
        </w:rPr>
        <w:t>marriage in England, Wales and Scotland.</w:t>
      </w:r>
      <w:r>
        <w:rPr>
          <w:rStyle w:val="FootnoteReference"/>
          <w:color w:val="000000" w:themeColor="text1"/>
          <w:sz w:val="24"/>
          <w:szCs w:val="24"/>
        </w:rPr>
        <w:footnoteReference w:id="2"/>
      </w:r>
      <w:r w:rsidR="000E07E5" w:rsidRPr="00782FD6">
        <w:rPr>
          <w:color w:val="000000" w:themeColor="text1"/>
          <w:sz w:val="24"/>
          <w:szCs w:val="24"/>
        </w:rPr>
        <w:t xml:space="preserve"> </w:t>
      </w:r>
    </w:p>
    <w:p w14:paraId="3B370BB3" w14:textId="11F0D045" w:rsidR="000E07E5" w:rsidRPr="000E07E5" w:rsidRDefault="000E07E5" w:rsidP="00B91B74">
      <w:pPr>
        <w:numPr>
          <w:ilvl w:val="0"/>
          <w:numId w:val="2"/>
        </w:numPr>
        <w:tabs>
          <w:tab w:val="left" w:pos="567"/>
          <w:tab w:val="left" w:pos="851"/>
        </w:tabs>
        <w:ind w:left="851" w:right="-22" w:hanging="284"/>
        <w:rPr>
          <w:color w:val="000000" w:themeColor="text1"/>
          <w:sz w:val="24"/>
          <w:szCs w:val="24"/>
        </w:rPr>
      </w:pPr>
      <w:r w:rsidRPr="000E07E5">
        <w:rPr>
          <w:color w:val="000000" w:themeColor="text1"/>
          <w:sz w:val="24"/>
          <w:szCs w:val="24"/>
        </w:rPr>
        <w:t>find ways to encourage Local Churches (and if thought necessary, equipping them with pastoral and teaching resources) to welcome same sex couples and their families and to enable their participation in the life and worship of the Church;</w:t>
      </w:r>
      <w:r w:rsidR="000A3B2B">
        <w:rPr>
          <w:rStyle w:val="FootnoteReference"/>
          <w:color w:val="000000" w:themeColor="text1"/>
          <w:sz w:val="24"/>
          <w:szCs w:val="24"/>
        </w:rPr>
        <w:footnoteReference w:id="3"/>
      </w:r>
      <w:r w:rsidRPr="000E07E5">
        <w:rPr>
          <w:color w:val="000000" w:themeColor="text1"/>
          <w:sz w:val="24"/>
          <w:szCs w:val="24"/>
        </w:rPr>
        <w:t xml:space="preserve"> </w:t>
      </w:r>
    </w:p>
    <w:p w14:paraId="49C8ADAA" w14:textId="2DA4EF49" w:rsidR="000E07E5" w:rsidRPr="000E07E5" w:rsidRDefault="000E07E5" w:rsidP="00B91B74">
      <w:pPr>
        <w:numPr>
          <w:ilvl w:val="0"/>
          <w:numId w:val="2"/>
        </w:numPr>
        <w:tabs>
          <w:tab w:val="left" w:pos="567"/>
          <w:tab w:val="left" w:pos="851"/>
        </w:tabs>
        <w:ind w:left="851" w:right="-22" w:hanging="284"/>
        <w:rPr>
          <w:color w:val="000000" w:themeColor="text1"/>
          <w:sz w:val="24"/>
          <w:szCs w:val="24"/>
        </w:rPr>
      </w:pPr>
      <w:r w:rsidRPr="000E07E5">
        <w:rPr>
          <w:color w:val="000000" w:themeColor="text1"/>
          <w:sz w:val="24"/>
          <w:szCs w:val="24"/>
        </w:rPr>
        <w:lastRenderedPageBreak/>
        <w:t>work with the Faith and Order committee to develop resources to help people to explore the teaching and practice of the Church in relation to cohabitation;</w:t>
      </w:r>
      <w:r w:rsidR="00972CC5">
        <w:rPr>
          <w:rStyle w:val="FootnoteReference"/>
          <w:color w:val="000000" w:themeColor="text1"/>
          <w:sz w:val="24"/>
          <w:szCs w:val="24"/>
        </w:rPr>
        <w:footnoteReference w:id="4"/>
      </w:r>
      <w:r w:rsidRPr="000E07E5">
        <w:rPr>
          <w:color w:val="000000" w:themeColor="text1"/>
          <w:sz w:val="24"/>
          <w:szCs w:val="24"/>
        </w:rPr>
        <w:t xml:space="preserve"> </w:t>
      </w:r>
    </w:p>
    <w:p w14:paraId="32BB3238" w14:textId="6C247F00" w:rsidR="000E07E5" w:rsidRPr="000E07E5" w:rsidRDefault="00262D88" w:rsidP="00B91B74">
      <w:pPr>
        <w:numPr>
          <w:ilvl w:val="0"/>
          <w:numId w:val="2"/>
        </w:numPr>
        <w:tabs>
          <w:tab w:val="left" w:pos="567"/>
          <w:tab w:val="left" w:pos="851"/>
        </w:tabs>
        <w:ind w:left="851" w:right="-22" w:hanging="284"/>
        <w:rPr>
          <w:color w:val="000000" w:themeColor="text1"/>
          <w:sz w:val="24"/>
          <w:szCs w:val="24"/>
        </w:rPr>
      </w:pPr>
      <w:r>
        <w:rPr>
          <w:color w:val="000000" w:themeColor="text1"/>
          <w:sz w:val="24"/>
          <w:szCs w:val="24"/>
        </w:rPr>
        <w:t>investigate</w:t>
      </w:r>
      <w:r w:rsidR="000E07E5" w:rsidRPr="000E07E5">
        <w:rPr>
          <w:color w:val="000000" w:themeColor="text1"/>
          <w:sz w:val="24"/>
          <w:szCs w:val="24"/>
        </w:rPr>
        <w:t xml:space="preserve"> what material is </w:t>
      </w:r>
      <w:r>
        <w:rPr>
          <w:color w:val="000000" w:themeColor="text1"/>
          <w:sz w:val="24"/>
          <w:szCs w:val="24"/>
        </w:rPr>
        <w:t xml:space="preserve">already available </w:t>
      </w:r>
      <w:r w:rsidR="000E07E5" w:rsidRPr="000E07E5">
        <w:rPr>
          <w:color w:val="000000" w:themeColor="text1"/>
          <w:sz w:val="24"/>
          <w:szCs w:val="24"/>
        </w:rPr>
        <w:t>or could be produced “in order to encourage wider discussions about marriage and other relationships”;</w:t>
      </w:r>
      <w:r w:rsidR="00E91FB8">
        <w:rPr>
          <w:rStyle w:val="FootnoteReference"/>
          <w:color w:val="000000" w:themeColor="text1"/>
          <w:sz w:val="24"/>
          <w:szCs w:val="24"/>
        </w:rPr>
        <w:footnoteReference w:id="5"/>
      </w:r>
      <w:r w:rsidR="000E07E5" w:rsidRPr="000E07E5">
        <w:rPr>
          <w:color w:val="000000" w:themeColor="text1"/>
          <w:sz w:val="24"/>
          <w:szCs w:val="24"/>
        </w:rPr>
        <w:t xml:space="preserve"> </w:t>
      </w:r>
    </w:p>
    <w:p w14:paraId="5282518E" w14:textId="0D0D5603" w:rsidR="000E07E5" w:rsidRPr="000E07E5" w:rsidRDefault="000E07E5" w:rsidP="00B91B74">
      <w:pPr>
        <w:numPr>
          <w:ilvl w:val="0"/>
          <w:numId w:val="2"/>
        </w:numPr>
        <w:tabs>
          <w:tab w:val="left" w:pos="567"/>
          <w:tab w:val="left" w:pos="851"/>
        </w:tabs>
        <w:ind w:left="851" w:right="-22" w:hanging="284"/>
        <w:rPr>
          <w:color w:val="000000" w:themeColor="text1"/>
          <w:sz w:val="24"/>
          <w:szCs w:val="24"/>
        </w:rPr>
      </w:pPr>
      <w:r w:rsidRPr="000E07E5">
        <w:rPr>
          <w:color w:val="000000" w:themeColor="text1"/>
          <w:sz w:val="24"/>
          <w:szCs w:val="24"/>
        </w:rPr>
        <w:t>work with the EDI committee to produce clear guidance on homophobia (vii);</w:t>
      </w:r>
      <w:r w:rsidR="005A2343">
        <w:rPr>
          <w:rStyle w:val="FootnoteReference"/>
          <w:color w:val="000000" w:themeColor="text1"/>
          <w:sz w:val="24"/>
          <w:szCs w:val="24"/>
        </w:rPr>
        <w:footnoteReference w:id="6"/>
      </w:r>
    </w:p>
    <w:p w14:paraId="6C7F8BCD" w14:textId="2C839979" w:rsidR="000E07E5" w:rsidRPr="000E07E5" w:rsidRDefault="000E07E5" w:rsidP="00B91B74">
      <w:pPr>
        <w:numPr>
          <w:ilvl w:val="0"/>
          <w:numId w:val="2"/>
        </w:numPr>
        <w:tabs>
          <w:tab w:val="left" w:pos="567"/>
          <w:tab w:val="left" w:pos="851"/>
        </w:tabs>
        <w:ind w:left="851" w:right="-22" w:hanging="284"/>
        <w:rPr>
          <w:color w:val="000000" w:themeColor="text1"/>
          <w:sz w:val="24"/>
          <w:szCs w:val="24"/>
        </w:rPr>
      </w:pPr>
      <w:r w:rsidRPr="000E07E5">
        <w:rPr>
          <w:color w:val="000000" w:themeColor="text1"/>
          <w:sz w:val="24"/>
          <w:szCs w:val="24"/>
        </w:rPr>
        <w:t>consider further the implications of the same sex marriage legislation for shared buildings not held on Methodist trusts and for those working in wider ecumenical contexts.</w:t>
      </w:r>
      <w:r w:rsidR="009C3163">
        <w:rPr>
          <w:rStyle w:val="FootnoteReference"/>
          <w:color w:val="000000" w:themeColor="text1"/>
          <w:sz w:val="24"/>
          <w:szCs w:val="24"/>
        </w:rPr>
        <w:footnoteReference w:id="7"/>
      </w:r>
    </w:p>
    <w:p w14:paraId="742321CB" w14:textId="7795C0C6" w:rsidR="000E07E5" w:rsidRPr="000E07E5" w:rsidRDefault="00801E27" w:rsidP="001419E1">
      <w:pPr>
        <w:tabs>
          <w:tab w:val="left" w:pos="567"/>
        </w:tabs>
        <w:ind w:left="567" w:right="-22" w:hanging="567"/>
        <w:rPr>
          <w:color w:val="000000" w:themeColor="text1"/>
          <w:sz w:val="24"/>
          <w:szCs w:val="24"/>
        </w:rPr>
      </w:pPr>
      <w:r>
        <w:rPr>
          <w:color w:val="000000" w:themeColor="text1"/>
          <w:sz w:val="24"/>
          <w:szCs w:val="24"/>
        </w:rPr>
        <w:t>D3</w:t>
      </w:r>
      <w:r>
        <w:rPr>
          <w:color w:val="000000" w:themeColor="text1"/>
          <w:sz w:val="24"/>
          <w:szCs w:val="24"/>
        </w:rPr>
        <w:tab/>
      </w:r>
      <w:r w:rsidR="000E07E5" w:rsidRPr="000E07E5">
        <w:rPr>
          <w:color w:val="000000" w:themeColor="text1"/>
          <w:sz w:val="24"/>
          <w:szCs w:val="24"/>
        </w:rPr>
        <w:t xml:space="preserve">The 2014 report resolution 40/4 </w:t>
      </w:r>
      <w:r>
        <w:rPr>
          <w:color w:val="000000" w:themeColor="text1"/>
          <w:sz w:val="24"/>
          <w:szCs w:val="24"/>
        </w:rPr>
        <w:t>(b)</w:t>
      </w:r>
      <w:r w:rsidR="000E07E5" w:rsidRPr="000E07E5">
        <w:rPr>
          <w:color w:val="000000" w:themeColor="text1"/>
          <w:sz w:val="24"/>
          <w:szCs w:val="24"/>
        </w:rPr>
        <w:t xml:space="preserve">(x) stated that </w:t>
      </w:r>
      <w:r w:rsidR="00C77419">
        <w:rPr>
          <w:color w:val="000000" w:themeColor="text1"/>
          <w:sz w:val="24"/>
          <w:szCs w:val="24"/>
        </w:rPr>
        <w:t>“</w:t>
      </w:r>
      <w:r w:rsidR="00B3228F">
        <w:rPr>
          <w:color w:val="000000" w:themeColor="text1"/>
          <w:sz w:val="24"/>
          <w:szCs w:val="24"/>
        </w:rPr>
        <w:t>i</w:t>
      </w:r>
      <w:r w:rsidR="000E07E5" w:rsidRPr="000E07E5">
        <w:rPr>
          <w:color w:val="000000" w:themeColor="text1"/>
          <w:sz w:val="24"/>
          <w:szCs w:val="24"/>
        </w:rPr>
        <w:t>n the light of its explorations and experience of working on all these issues</w:t>
      </w:r>
      <w:r w:rsidR="00C77419">
        <w:rPr>
          <w:color w:val="000000" w:themeColor="text1"/>
          <w:sz w:val="24"/>
          <w:szCs w:val="24"/>
        </w:rPr>
        <w:t>”</w:t>
      </w:r>
      <w:r w:rsidR="000E07E5" w:rsidRPr="000E07E5">
        <w:rPr>
          <w:color w:val="000000" w:themeColor="text1"/>
          <w:sz w:val="24"/>
          <w:szCs w:val="24"/>
        </w:rPr>
        <w:t xml:space="preserve">, the </w:t>
      </w:r>
      <w:r w:rsidR="00D459CC">
        <w:rPr>
          <w:color w:val="000000" w:themeColor="text1"/>
          <w:sz w:val="24"/>
          <w:szCs w:val="24"/>
        </w:rPr>
        <w:t>Task Group</w:t>
      </w:r>
      <w:r w:rsidR="000E07E5" w:rsidRPr="000E07E5">
        <w:rPr>
          <w:color w:val="000000" w:themeColor="text1"/>
          <w:sz w:val="24"/>
          <w:szCs w:val="24"/>
        </w:rPr>
        <w:t xml:space="preserve"> was </w:t>
      </w:r>
      <w:r w:rsidR="00C77419">
        <w:rPr>
          <w:color w:val="000000" w:themeColor="text1"/>
          <w:sz w:val="24"/>
          <w:szCs w:val="24"/>
        </w:rPr>
        <w:t>“</w:t>
      </w:r>
      <w:r w:rsidR="000E07E5" w:rsidRPr="000E07E5">
        <w:rPr>
          <w:color w:val="000000" w:themeColor="text1"/>
          <w:sz w:val="24"/>
          <w:szCs w:val="24"/>
        </w:rPr>
        <w:t xml:space="preserve">to bring a general report to the Conference of 2016 on the key issues and proposals for any further work to be done, and including recommendations upon: </w:t>
      </w:r>
    </w:p>
    <w:p w14:paraId="02D45F5D" w14:textId="174567A2" w:rsidR="000E07E5" w:rsidRPr="000E07E5" w:rsidRDefault="000E07E5" w:rsidP="008B59A3">
      <w:pPr>
        <w:tabs>
          <w:tab w:val="left" w:pos="567"/>
          <w:tab w:val="left" w:pos="851"/>
        </w:tabs>
        <w:ind w:left="851" w:right="-22" w:hanging="284"/>
        <w:rPr>
          <w:color w:val="000000" w:themeColor="text1"/>
          <w:sz w:val="24"/>
          <w:szCs w:val="24"/>
        </w:rPr>
      </w:pPr>
      <w:proofErr w:type="gramStart"/>
      <w:r w:rsidRPr="000E07E5">
        <w:rPr>
          <w:color w:val="000000" w:themeColor="text1"/>
          <w:sz w:val="24"/>
          <w:szCs w:val="24"/>
        </w:rPr>
        <w:t>i</w:t>
      </w:r>
      <w:proofErr w:type="gramEnd"/>
      <w:r w:rsidRPr="000E07E5">
        <w:rPr>
          <w:color w:val="000000" w:themeColor="text1"/>
          <w:sz w:val="24"/>
          <w:szCs w:val="24"/>
        </w:rPr>
        <w:t xml:space="preserve">. </w:t>
      </w:r>
      <w:r w:rsidR="005D421F">
        <w:rPr>
          <w:color w:val="000000" w:themeColor="text1"/>
          <w:sz w:val="24"/>
          <w:szCs w:val="24"/>
        </w:rPr>
        <w:tab/>
      </w:r>
      <w:r w:rsidRPr="000E07E5">
        <w:rPr>
          <w:color w:val="000000" w:themeColor="text1"/>
          <w:sz w:val="24"/>
          <w:szCs w:val="24"/>
        </w:rPr>
        <w:t xml:space="preserve">whether the 1992 Conference Statement A Christian Understanding of Family Life, the Single Person and Marriage should be updated </w:t>
      </w:r>
    </w:p>
    <w:p w14:paraId="285B1494" w14:textId="277BB1A6" w:rsidR="000E07E5" w:rsidRPr="000E07E5" w:rsidRDefault="000E07E5" w:rsidP="008B59A3">
      <w:pPr>
        <w:tabs>
          <w:tab w:val="left" w:pos="567"/>
          <w:tab w:val="left" w:pos="851"/>
        </w:tabs>
        <w:ind w:left="851" w:right="-22" w:hanging="284"/>
        <w:rPr>
          <w:color w:val="000000" w:themeColor="text1"/>
          <w:sz w:val="24"/>
          <w:szCs w:val="24"/>
        </w:rPr>
      </w:pPr>
      <w:r w:rsidRPr="000E07E5">
        <w:rPr>
          <w:color w:val="000000" w:themeColor="text1"/>
          <w:sz w:val="24"/>
          <w:szCs w:val="24"/>
        </w:rPr>
        <w:t xml:space="preserve">ii. </w:t>
      </w:r>
      <w:r w:rsidR="005D421F">
        <w:rPr>
          <w:color w:val="000000" w:themeColor="text1"/>
          <w:sz w:val="24"/>
          <w:szCs w:val="24"/>
        </w:rPr>
        <w:tab/>
      </w:r>
      <w:r w:rsidRPr="000E07E5">
        <w:rPr>
          <w:color w:val="000000" w:themeColor="text1"/>
          <w:sz w:val="24"/>
          <w:szCs w:val="24"/>
        </w:rPr>
        <w:t>whether to revisit the question of embarking upon a process of revising the Methodist Church’s definition of marriage</w:t>
      </w:r>
      <w:r w:rsidR="00C77419">
        <w:rPr>
          <w:color w:val="000000" w:themeColor="text1"/>
          <w:sz w:val="24"/>
          <w:szCs w:val="24"/>
        </w:rPr>
        <w:t>”</w:t>
      </w:r>
      <w:r w:rsidRPr="000E07E5">
        <w:rPr>
          <w:color w:val="000000" w:themeColor="text1"/>
          <w:sz w:val="24"/>
          <w:szCs w:val="24"/>
        </w:rPr>
        <w:t xml:space="preserve">. </w:t>
      </w:r>
    </w:p>
    <w:p w14:paraId="02B8874A" w14:textId="515FFD96" w:rsidR="000E07E5" w:rsidRPr="000E07E5" w:rsidRDefault="00E06028" w:rsidP="001419E1">
      <w:pPr>
        <w:tabs>
          <w:tab w:val="left" w:pos="567"/>
        </w:tabs>
        <w:ind w:left="567" w:right="-22" w:hanging="567"/>
        <w:rPr>
          <w:color w:val="000000" w:themeColor="text1"/>
          <w:sz w:val="24"/>
          <w:szCs w:val="24"/>
        </w:rPr>
      </w:pPr>
      <w:r>
        <w:rPr>
          <w:color w:val="000000" w:themeColor="text1"/>
          <w:sz w:val="24"/>
          <w:szCs w:val="24"/>
        </w:rPr>
        <w:t>D4</w:t>
      </w:r>
      <w:r>
        <w:rPr>
          <w:color w:val="000000" w:themeColor="text1"/>
          <w:sz w:val="24"/>
          <w:szCs w:val="24"/>
        </w:rPr>
        <w:tab/>
      </w:r>
      <w:r w:rsidR="000E07E5" w:rsidRPr="000E07E5">
        <w:rPr>
          <w:color w:val="000000" w:themeColor="text1"/>
          <w:sz w:val="24"/>
          <w:szCs w:val="24"/>
        </w:rPr>
        <w:t xml:space="preserve">The 2016 Marriage and Relationships </w:t>
      </w:r>
      <w:r w:rsidR="00D459CC">
        <w:rPr>
          <w:color w:val="000000" w:themeColor="text1"/>
          <w:sz w:val="24"/>
          <w:szCs w:val="24"/>
        </w:rPr>
        <w:t>Task Group</w:t>
      </w:r>
      <w:r w:rsidR="000E07E5" w:rsidRPr="000E07E5">
        <w:rPr>
          <w:color w:val="000000" w:themeColor="text1"/>
          <w:sz w:val="24"/>
          <w:szCs w:val="24"/>
        </w:rPr>
        <w:t xml:space="preserve"> report noted (1.2.1) that in the 2014 consultation the conclusion had been reached that there was “no clear mind as to whether or not the Methodist Church should ‘opt-in’ to the solemnisation of the marriage of same sex couples”. The 2014 </w:t>
      </w:r>
      <w:r w:rsidR="00CB6669">
        <w:rPr>
          <w:color w:val="000000" w:themeColor="text1"/>
          <w:sz w:val="24"/>
          <w:szCs w:val="24"/>
        </w:rPr>
        <w:t xml:space="preserve">report had </w:t>
      </w:r>
      <w:r w:rsidR="000E07E5" w:rsidRPr="000E07E5">
        <w:rPr>
          <w:color w:val="000000" w:themeColor="text1"/>
          <w:sz w:val="24"/>
          <w:szCs w:val="24"/>
        </w:rPr>
        <w:t>also noted that the Methodist people held contradictory convictions on these matters and</w:t>
      </w:r>
      <w:r w:rsidR="005B44E9">
        <w:rPr>
          <w:color w:val="000000" w:themeColor="text1"/>
          <w:sz w:val="24"/>
          <w:szCs w:val="24"/>
        </w:rPr>
        <w:t>,</w:t>
      </w:r>
      <w:r w:rsidR="000E07E5" w:rsidRPr="000E07E5">
        <w:rPr>
          <w:color w:val="000000" w:themeColor="text1"/>
          <w:sz w:val="24"/>
          <w:szCs w:val="24"/>
        </w:rPr>
        <w:t xml:space="preserve"> although strongly held, these contradictory convictions were often not subject to discussion in church life.  It was also noted and reported in the 2016 report, “There was a pastoral imperative to encourage the Methodist people to reflect and discuss these matters, to learn from each other and discern how we can live with these contradictory convictions”</w:t>
      </w:r>
      <w:r w:rsidR="00656D15">
        <w:rPr>
          <w:color w:val="000000" w:themeColor="text1"/>
          <w:sz w:val="24"/>
          <w:szCs w:val="24"/>
        </w:rPr>
        <w:t xml:space="preserve"> </w:t>
      </w:r>
      <w:r w:rsidR="000E07E5" w:rsidRPr="000E07E5">
        <w:rPr>
          <w:color w:val="000000" w:themeColor="text1"/>
          <w:sz w:val="24"/>
          <w:szCs w:val="24"/>
        </w:rPr>
        <w:t>(</w:t>
      </w:r>
      <w:r w:rsidR="00656D15">
        <w:rPr>
          <w:color w:val="000000" w:themeColor="text1"/>
          <w:sz w:val="24"/>
          <w:szCs w:val="24"/>
        </w:rPr>
        <w:t>2016</w:t>
      </w:r>
      <w:r w:rsidR="000E07E5" w:rsidRPr="000E07E5">
        <w:rPr>
          <w:color w:val="000000" w:themeColor="text1"/>
          <w:sz w:val="24"/>
          <w:szCs w:val="24"/>
        </w:rPr>
        <w:t xml:space="preserve"> 1.2.2).</w:t>
      </w:r>
    </w:p>
    <w:p w14:paraId="64A02C70" w14:textId="1D294EF9" w:rsidR="000E07E5" w:rsidRPr="000E07E5" w:rsidRDefault="00656D15" w:rsidP="001419E1">
      <w:pPr>
        <w:tabs>
          <w:tab w:val="left" w:pos="567"/>
        </w:tabs>
        <w:ind w:left="567" w:right="-22" w:hanging="567"/>
        <w:rPr>
          <w:color w:val="000000" w:themeColor="text1"/>
          <w:sz w:val="24"/>
          <w:szCs w:val="24"/>
        </w:rPr>
      </w:pPr>
      <w:r>
        <w:rPr>
          <w:color w:val="000000" w:themeColor="text1"/>
          <w:sz w:val="24"/>
          <w:szCs w:val="24"/>
        </w:rPr>
        <w:t>D5</w:t>
      </w:r>
      <w:r>
        <w:rPr>
          <w:color w:val="000000" w:themeColor="text1"/>
          <w:sz w:val="24"/>
          <w:szCs w:val="24"/>
        </w:rPr>
        <w:tab/>
      </w:r>
      <w:r w:rsidR="000E07E5" w:rsidRPr="000E07E5">
        <w:rPr>
          <w:color w:val="000000" w:themeColor="text1"/>
          <w:sz w:val="24"/>
          <w:szCs w:val="24"/>
        </w:rPr>
        <w:t>Drawing on work already undertaken by the Methodist Church</w:t>
      </w:r>
      <w:r w:rsidR="00110253">
        <w:rPr>
          <w:color w:val="000000" w:themeColor="text1"/>
          <w:sz w:val="24"/>
          <w:szCs w:val="24"/>
        </w:rPr>
        <w:t>,</w:t>
      </w:r>
      <w:r w:rsidR="000E07E5" w:rsidRPr="000E07E5">
        <w:rPr>
          <w:color w:val="000000" w:themeColor="text1"/>
          <w:sz w:val="24"/>
          <w:szCs w:val="24"/>
        </w:rPr>
        <w:t xml:space="preserve"> the 2014-16 </w:t>
      </w:r>
      <w:r w:rsidR="00D459CC">
        <w:rPr>
          <w:color w:val="000000" w:themeColor="text1"/>
          <w:sz w:val="24"/>
          <w:szCs w:val="24"/>
        </w:rPr>
        <w:t>Task Group</w:t>
      </w:r>
      <w:r w:rsidR="000E07E5" w:rsidRPr="000E07E5">
        <w:rPr>
          <w:color w:val="000000" w:themeColor="text1"/>
          <w:sz w:val="24"/>
          <w:szCs w:val="24"/>
        </w:rPr>
        <w:t xml:space="preserve"> consulted with the Methodist people according to the resolutions in the 2014 report.</w:t>
      </w:r>
      <w:r w:rsidR="00006126">
        <w:rPr>
          <w:color w:val="000000" w:themeColor="text1"/>
          <w:sz w:val="24"/>
          <w:szCs w:val="24"/>
        </w:rPr>
        <w:t xml:space="preserve"> </w:t>
      </w:r>
      <w:r w:rsidR="000E07E5" w:rsidRPr="000E07E5">
        <w:rPr>
          <w:color w:val="000000" w:themeColor="text1"/>
          <w:sz w:val="24"/>
          <w:szCs w:val="24"/>
        </w:rPr>
        <w:t xml:space="preserve">The reflections of that </w:t>
      </w:r>
      <w:r w:rsidR="00D459CC">
        <w:rPr>
          <w:color w:val="000000" w:themeColor="text1"/>
          <w:sz w:val="24"/>
          <w:szCs w:val="24"/>
        </w:rPr>
        <w:t>Task Group</w:t>
      </w:r>
      <w:r w:rsidR="000E07E5" w:rsidRPr="000E07E5">
        <w:rPr>
          <w:color w:val="000000" w:themeColor="text1"/>
          <w:sz w:val="24"/>
          <w:szCs w:val="24"/>
        </w:rPr>
        <w:t xml:space="preserve"> on the missional challenges of these matters which w</w:t>
      </w:r>
      <w:r w:rsidR="00CA1444">
        <w:rPr>
          <w:color w:val="000000" w:themeColor="text1"/>
          <w:sz w:val="24"/>
          <w:szCs w:val="24"/>
        </w:rPr>
        <w:t>ere</w:t>
      </w:r>
      <w:r w:rsidR="000E07E5" w:rsidRPr="000E07E5">
        <w:rPr>
          <w:color w:val="000000" w:themeColor="text1"/>
          <w:sz w:val="24"/>
          <w:szCs w:val="24"/>
        </w:rPr>
        <w:t xml:space="preserve"> published in their report to </w:t>
      </w:r>
      <w:r w:rsidR="00CA1444">
        <w:rPr>
          <w:color w:val="000000" w:themeColor="text1"/>
          <w:sz w:val="24"/>
          <w:szCs w:val="24"/>
        </w:rPr>
        <w:t xml:space="preserve">the 2016 </w:t>
      </w:r>
      <w:r w:rsidR="000E07E5" w:rsidRPr="000E07E5">
        <w:rPr>
          <w:color w:val="000000" w:themeColor="text1"/>
          <w:sz w:val="24"/>
          <w:szCs w:val="24"/>
        </w:rPr>
        <w:t xml:space="preserve">Conference were “informed by feedback from the workshops held at the 2015 Conference and the local conversations within Districts </w:t>
      </w:r>
      <w:r w:rsidR="00B63D1B">
        <w:rPr>
          <w:color w:val="000000" w:themeColor="text1"/>
          <w:sz w:val="24"/>
          <w:szCs w:val="24"/>
        </w:rPr>
        <w:t xml:space="preserve">…. </w:t>
      </w:r>
      <w:r w:rsidR="000E07E5" w:rsidRPr="000E07E5">
        <w:rPr>
          <w:color w:val="000000" w:themeColor="text1"/>
          <w:sz w:val="24"/>
          <w:szCs w:val="24"/>
        </w:rPr>
        <w:t>in 2015/16</w:t>
      </w:r>
      <w:r w:rsidR="00FE4508">
        <w:rPr>
          <w:color w:val="000000" w:themeColor="text1"/>
          <w:sz w:val="24"/>
          <w:szCs w:val="24"/>
        </w:rPr>
        <w:t xml:space="preserve"> </w:t>
      </w:r>
      <w:r w:rsidR="00FE4508">
        <w:rPr>
          <w:i/>
          <w:color w:val="000000" w:themeColor="text1"/>
          <w:sz w:val="24"/>
          <w:szCs w:val="24"/>
        </w:rPr>
        <w:t>(sc. which were summarised in section 3.3 of the 2016 report)</w:t>
      </w:r>
      <w:r w:rsidR="000E07E5" w:rsidRPr="000E07E5">
        <w:rPr>
          <w:color w:val="000000" w:themeColor="text1"/>
          <w:sz w:val="24"/>
          <w:szCs w:val="24"/>
        </w:rPr>
        <w:t xml:space="preserve">” (3.1.1). That </w:t>
      </w:r>
      <w:r w:rsidR="00D459CC">
        <w:rPr>
          <w:color w:val="000000" w:themeColor="text1"/>
          <w:sz w:val="24"/>
          <w:szCs w:val="24"/>
        </w:rPr>
        <w:t>Task Group</w:t>
      </w:r>
      <w:r w:rsidR="000E07E5" w:rsidRPr="000E07E5">
        <w:rPr>
          <w:color w:val="000000" w:themeColor="text1"/>
          <w:sz w:val="24"/>
          <w:szCs w:val="24"/>
        </w:rPr>
        <w:t xml:space="preserve"> noted that the feedback fell into two categories which were a) The relationships between the Church and wider society and b) the pastoral situations requiring car</w:t>
      </w:r>
      <w:r w:rsidR="00426DC3">
        <w:rPr>
          <w:color w:val="000000" w:themeColor="text1"/>
          <w:sz w:val="24"/>
          <w:szCs w:val="24"/>
        </w:rPr>
        <w:t>e</w:t>
      </w:r>
      <w:r w:rsidR="000E07E5" w:rsidRPr="000E07E5">
        <w:rPr>
          <w:color w:val="000000" w:themeColor="text1"/>
          <w:sz w:val="24"/>
          <w:szCs w:val="24"/>
        </w:rPr>
        <w:t xml:space="preserve">ful consideration. In the 2019 report to </w:t>
      </w:r>
      <w:r w:rsidR="0058773A">
        <w:rPr>
          <w:color w:val="000000" w:themeColor="text1"/>
          <w:sz w:val="24"/>
          <w:szCs w:val="24"/>
        </w:rPr>
        <w:t xml:space="preserve">the </w:t>
      </w:r>
      <w:r w:rsidR="000E07E5" w:rsidRPr="000E07E5">
        <w:rPr>
          <w:color w:val="000000" w:themeColor="text1"/>
          <w:sz w:val="24"/>
          <w:szCs w:val="24"/>
        </w:rPr>
        <w:t>Conference</w:t>
      </w:r>
      <w:r w:rsidR="0058773A">
        <w:rPr>
          <w:color w:val="000000" w:themeColor="text1"/>
          <w:sz w:val="24"/>
          <w:szCs w:val="24"/>
        </w:rPr>
        <w:t>,</w:t>
      </w:r>
      <w:r w:rsidR="000E07E5" w:rsidRPr="000E07E5">
        <w:rPr>
          <w:color w:val="000000" w:themeColor="text1"/>
          <w:sz w:val="24"/>
          <w:szCs w:val="24"/>
        </w:rPr>
        <w:t xml:space="preserve"> the current </w:t>
      </w:r>
      <w:r w:rsidR="00D459CC">
        <w:rPr>
          <w:color w:val="000000" w:themeColor="text1"/>
          <w:sz w:val="24"/>
          <w:szCs w:val="24"/>
        </w:rPr>
        <w:t>Task Group</w:t>
      </w:r>
      <w:r w:rsidR="000E07E5" w:rsidRPr="000E07E5">
        <w:rPr>
          <w:color w:val="000000" w:themeColor="text1"/>
          <w:sz w:val="24"/>
          <w:szCs w:val="24"/>
        </w:rPr>
        <w:t xml:space="preserve"> has summari</w:t>
      </w:r>
      <w:r w:rsidR="00CA1444">
        <w:rPr>
          <w:color w:val="000000" w:themeColor="text1"/>
          <w:sz w:val="24"/>
          <w:szCs w:val="24"/>
        </w:rPr>
        <w:t>s</w:t>
      </w:r>
      <w:r w:rsidR="000E07E5" w:rsidRPr="000E07E5">
        <w:rPr>
          <w:color w:val="000000" w:themeColor="text1"/>
          <w:sz w:val="24"/>
          <w:szCs w:val="24"/>
        </w:rPr>
        <w:t>ed these challenges in section 0.2.</w:t>
      </w:r>
    </w:p>
    <w:p w14:paraId="6FD5AEC9" w14:textId="7FAC6DAA" w:rsidR="000E07E5" w:rsidRPr="000E07E5" w:rsidRDefault="0058773A" w:rsidP="001419E1">
      <w:pPr>
        <w:tabs>
          <w:tab w:val="left" w:pos="567"/>
        </w:tabs>
        <w:ind w:left="567" w:right="-22" w:hanging="567"/>
        <w:rPr>
          <w:color w:val="000000" w:themeColor="text1"/>
          <w:sz w:val="24"/>
          <w:szCs w:val="24"/>
        </w:rPr>
      </w:pPr>
      <w:r>
        <w:rPr>
          <w:color w:val="000000" w:themeColor="text1"/>
          <w:sz w:val="24"/>
          <w:szCs w:val="24"/>
        </w:rPr>
        <w:t>D6</w:t>
      </w:r>
      <w:r>
        <w:rPr>
          <w:color w:val="000000" w:themeColor="text1"/>
          <w:sz w:val="24"/>
          <w:szCs w:val="24"/>
        </w:rPr>
        <w:tab/>
      </w:r>
      <w:r w:rsidR="000E07E5" w:rsidRPr="000E07E5">
        <w:rPr>
          <w:color w:val="000000" w:themeColor="text1"/>
          <w:sz w:val="24"/>
          <w:szCs w:val="24"/>
        </w:rPr>
        <w:t>In their reflections on the ‘role of the tradition and experience of the Church where its values, teachings and practice in regards to marriage are not shared with surrounding society’, the 2016 report noted that the Faith and Order committee had felt this implied a rather static understanding of what tradition is.  The suggestion was that “Some theological reflection on living with the dissonance between the teaching of the Church and what is happening in people’s lives may help unpack some of these issues”</w:t>
      </w:r>
      <w:r w:rsidR="00040EC0">
        <w:rPr>
          <w:color w:val="000000" w:themeColor="text1"/>
          <w:sz w:val="24"/>
          <w:szCs w:val="24"/>
        </w:rPr>
        <w:t>.</w:t>
      </w:r>
      <w:r w:rsidR="004B30E3">
        <w:rPr>
          <w:rStyle w:val="FootnoteReference"/>
          <w:color w:val="000000" w:themeColor="text1"/>
          <w:sz w:val="24"/>
          <w:szCs w:val="24"/>
        </w:rPr>
        <w:footnoteReference w:id="8"/>
      </w:r>
      <w:r w:rsidR="000E07E5" w:rsidRPr="000E07E5">
        <w:rPr>
          <w:color w:val="000000" w:themeColor="text1"/>
          <w:sz w:val="24"/>
          <w:szCs w:val="24"/>
        </w:rPr>
        <w:t xml:space="preserve">  The current </w:t>
      </w:r>
      <w:r w:rsidR="00D459CC">
        <w:rPr>
          <w:color w:val="000000" w:themeColor="text1"/>
          <w:sz w:val="24"/>
          <w:szCs w:val="24"/>
        </w:rPr>
        <w:t>Task Group</w:t>
      </w:r>
      <w:r w:rsidR="000E07E5" w:rsidRPr="000E07E5">
        <w:rPr>
          <w:color w:val="000000" w:themeColor="text1"/>
          <w:sz w:val="24"/>
          <w:szCs w:val="24"/>
        </w:rPr>
        <w:t xml:space="preserve"> has reflected upon the reality of the way</w:t>
      </w:r>
      <w:r w:rsidR="00B87848">
        <w:rPr>
          <w:color w:val="000000" w:themeColor="text1"/>
          <w:sz w:val="24"/>
          <w:szCs w:val="24"/>
        </w:rPr>
        <w:t>s</w:t>
      </w:r>
      <w:r w:rsidR="000E07E5" w:rsidRPr="000E07E5">
        <w:rPr>
          <w:color w:val="000000" w:themeColor="text1"/>
          <w:sz w:val="24"/>
          <w:szCs w:val="24"/>
        </w:rPr>
        <w:t xml:space="preserve"> </w:t>
      </w:r>
      <w:r w:rsidR="00B87848">
        <w:rPr>
          <w:color w:val="000000" w:themeColor="text1"/>
          <w:sz w:val="24"/>
          <w:szCs w:val="24"/>
        </w:rPr>
        <w:t xml:space="preserve">in which </w:t>
      </w:r>
      <w:r w:rsidR="000E07E5" w:rsidRPr="000E07E5">
        <w:rPr>
          <w:color w:val="000000" w:themeColor="text1"/>
          <w:sz w:val="24"/>
          <w:szCs w:val="24"/>
        </w:rPr>
        <w:t>people who belong to the Methodist Church and those who do</w:t>
      </w:r>
      <w:r w:rsidR="00320910">
        <w:rPr>
          <w:color w:val="000000" w:themeColor="text1"/>
          <w:sz w:val="24"/>
          <w:szCs w:val="24"/>
        </w:rPr>
        <w:t xml:space="preserve"> not belong</w:t>
      </w:r>
      <w:r w:rsidR="00B87848">
        <w:rPr>
          <w:color w:val="000000" w:themeColor="text1"/>
          <w:sz w:val="24"/>
          <w:szCs w:val="24"/>
        </w:rPr>
        <w:t>,</w:t>
      </w:r>
      <w:r w:rsidR="00320910">
        <w:rPr>
          <w:color w:val="000000" w:themeColor="text1"/>
          <w:sz w:val="24"/>
          <w:szCs w:val="24"/>
        </w:rPr>
        <w:t xml:space="preserve"> </w:t>
      </w:r>
      <w:r w:rsidR="000E07E5" w:rsidRPr="000E07E5">
        <w:rPr>
          <w:color w:val="000000" w:themeColor="text1"/>
          <w:sz w:val="24"/>
          <w:szCs w:val="24"/>
        </w:rPr>
        <w:t>live their lives in relationships today</w:t>
      </w:r>
      <w:r w:rsidR="001140B3">
        <w:rPr>
          <w:color w:val="000000" w:themeColor="text1"/>
          <w:sz w:val="24"/>
          <w:szCs w:val="24"/>
        </w:rPr>
        <w:t xml:space="preserve">; and it has </w:t>
      </w:r>
      <w:r w:rsidR="000E07E5" w:rsidRPr="000E07E5">
        <w:rPr>
          <w:color w:val="000000" w:themeColor="text1"/>
          <w:sz w:val="24"/>
          <w:szCs w:val="24"/>
        </w:rPr>
        <w:t>encouraged the Methodist people to do the same.</w:t>
      </w:r>
    </w:p>
    <w:p w14:paraId="377D1A94" w14:textId="14F80C38" w:rsidR="00AB47E7" w:rsidRDefault="001140B3" w:rsidP="001419E1">
      <w:pPr>
        <w:tabs>
          <w:tab w:val="left" w:pos="567"/>
        </w:tabs>
        <w:ind w:left="567" w:right="-22" w:hanging="567"/>
        <w:rPr>
          <w:color w:val="000000" w:themeColor="text1"/>
          <w:sz w:val="24"/>
          <w:szCs w:val="24"/>
        </w:rPr>
      </w:pPr>
      <w:r>
        <w:rPr>
          <w:color w:val="000000" w:themeColor="text1"/>
          <w:sz w:val="24"/>
          <w:szCs w:val="24"/>
        </w:rPr>
        <w:t>D7</w:t>
      </w:r>
      <w:r>
        <w:rPr>
          <w:color w:val="000000" w:themeColor="text1"/>
          <w:sz w:val="24"/>
          <w:szCs w:val="24"/>
        </w:rPr>
        <w:tab/>
      </w:r>
      <w:r w:rsidR="000E07E5" w:rsidRPr="000E07E5">
        <w:rPr>
          <w:color w:val="000000" w:themeColor="text1"/>
          <w:sz w:val="24"/>
          <w:szCs w:val="24"/>
        </w:rPr>
        <w:t>The 2016 Report “identified and provided resources about the historic role of the Methodist Church in the solemnisation of marriage”</w:t>
      </w:r>
      <w:r>
        <w:rPr>
          <w:rStyle w:val="FootnoteReference"/>
          <w:color w:val="000000" w:themeColor="text1"/>
          <w:sz w:val="24"/>
          <w:szCs w:val="24"/>
        </w:rPr>
        <w:footnoteReference w:id="9"/>
      </w:r>
      <w:r w:rsidR="0031214F">
        <w:rPr>
          <w:color w:val="000000" w:themeColor="text1"/>
          <w:sz w:val="24"/>
          <w:szCs w:val="24"/>
        </w:rPr>
        <w:t xml:space="preserve">, </w:t>
      </w:r>
      <w:r w:rsidR="000E07E5" w:rsidRPr="000E07E5">
        <w:rPr>
          <w:color w:val="000000" w:themeColor="text1"/>
          <w:sz w:val="24"/>
          <w:szCs w:val="24"/>
        </w:rPr>
        <w:t xml:space="preserve">and the current </w:t>
      </w:r>
      <w:r w:rsidR="00D459CC">
        <w:rPr>
          <w:color w:val="000000" w:themeColor="text1"/>
          <w:sz w:val="24"/>
          <w:szCs w:val="24"/>
        </w:rPr>
        <w:t>Task Group</w:t>
      </w:r>
      <w:r w:rsidR="000E07E5" w:rsidRPr="000E07E5">
        <w:rPr>
          <w:color w:val="000000" w:themeColor="text1"/>
          <w:sz w:val="24"/>
          <w:szCs w:val="24"/>
        </w:rPr>
        <w:t xml:space="preserve"> has built upon these resources and added further reflections on the dynamic of change in the theology and practice of marriage in the Methodist Church</w:t>
      </w:r>
      <w:r w:rsidR="00CB4A43">
        <w:rPr>
          <w:color w:val="000000" w:themeColor="text1"/>
          <w:sz w:val="24"/>
          <w:szCs w:val="24"/>
        </w:rPr>
        <w:t xml:space="preserve"> (3.1.7 </w:t>
      </w:r>
      <w:r w:rsidR="00CA1444">
        <w:rPr>
          <w:color w:val="000000" w:themeColor="text1"/>
          <w:sz w:val="24"/>
          <w:szCs w:val="24"/>
        </w:rPr>
        <w:t>and</w:t>
      </w:r>
      <w:r w:rsidR="00CB4A43">
        <w:rPr>
          <w:color w:val="000000" w:themeColor="text1"/>
          <w:sz w:val="24"/>
          <w:szCs w:val="24"/>
        </w:rPr>
        <w:t>3.1.8)</w:t>
      </w:r>
      <w:r w:rsidR="000E07E5" w:rsidRPr="000E07E5">
        <w:rPr>
          <w:color w:val="000000" w:themeColor="text1"/>
          <w:sz w:val="24"/>
          <w:szCs w:val="24"/>
        </w:rPr>
        <w:t>.</w:t>
      </w:r>
    </w:p>
    <w:p w14:paraId="5301E46E" w14:textId="4113026F" w:rsidR="00AB47E7" w:rsidRDefault="00AB47E7" w:rsidP="001419E1">
      <w:pPr>
        <w:tabs>
          <w:tab w:val="left" w:pos="567"/>
        </w:tabs>
        <w:ind w:left="567" w:right="-22" w:hanging="567"/>
        <w:rPr>
          <w:color w:val="000000" w:themeColor="text1"/>
          <w:sz w:val="24"/>
          <w:szCs w:val="24"/>
        </w:rPr>
      </w:pPr>
      <w:r>
        <w:rPr>
          <w:color w:val="000000" w:themeColor="text1"/>
          <w:sz w:val="24"/>
          <w:szCs w:val="24"/>
        </w:rPr>
        <w:t>D8</w:t>
      </w:r>
      <w:r>
        <w:rPr>
          <w:color w:val="000000" w:themeColor="text1"/>
          <w:sz w:val="24"/>
          <w:szCs w:val="24"/>
        </w:rPr>
        <w:tab/>
      </w:r>
      <w:r w:rsidR="000E07E5" w:rsidRPr="000E07E5">
        <w:rPr>
          <w:color w:val="000000" w:themeColor="text1"/>
          <w:sz w:val="24"/>
          <w:szCs w:val="24"/>
        </w:rPr>
        <w:t xml:space="preserve">The 2014-2016 </w:t>
      </w:r>
      <w:r w:rsidR="00D459CC">
        <w:rPr>
          <w:color w:val="000000" w:themeColor="text1"/>
          <w:sz w:val="24"/>
          <w:szCs w:val="24"/>
        </w:rPr>
        <w:t>Task Group</w:t>
      </w:r>
      <w:r w:rsidR="000E07E5" w:rsidRPr="000E07E5">
        <w:rPr>
          <w:color w:val="000000" w:themeColor="text1"/>
          <w:sz w:val="24"/>
          <w:szCs w:val="24"/>
        </w:rPr>
        <w:t xml:space="preserve"> considered “</w:t>
      </w:r>
      <w:r w:rsidR="000E07E5" w:rsidRPr="000E07E5">
        <w:rPr>
          <w:bCs/>
          <w:color w:val="000000" w:themeColor="text1"/>
          <w:sz w:val="24"/>
          <w:szCs w:val="24"/>
        </w:rPr>
        <w:t>Arguments for and against the continued involvement of the Methodist Church in the solemnisation of marriage” (3.1.3).</w:t>
      </w:r>
      <w:r w:rsidR="000E07E5" w:rsidRPr="000E07E5">
        <w:rPr>
          <w:b/>
          <w:bCs/>
          <w:color w:val="000000" w:themeColor="text1"/>
          <w:sz w:val="24"/>
          <w:szCs w:val="24"/>
        </w:rPr>
        <w:t xml:space="preserve"> </w:t>
      </w:r>
      <w:r w:rsidR="000E07E5" w:rsidRPr="000E07E5">
        <w:rPr>
          <w:bCs/>
          <w:color w:val="000000" w:themeColor="text1"/>
          <w:sz w:val="24"/>
          <w:szCs w:val="24"/>
        </w:rPr>
        <w:t xml:space="preserve"> They concluded: “</w:t>
      </w:r>
      <w:r w:rsidR="000E07E5" w:rsidRPr="000E07E5">
        <w:rPr>
          <w:color w:val="000000" w:themeColor="text1"/>
          <w:sz w:val="24"/>
          <w:szCs w:val="24"/>
        </w:rPr>
        <w:t>It is for the Church to consider to what extent discontinuation of the solemnisation of marriage would impact on the mission and pastoral ministry of the Church” along with the reminder that showing God’s love and presence in the world, must include valuing and recognising landmark points in people’s lives such as marriage.</w:t>
      </w:r>
      <w:r w:rsidR="0014253E">
        <w:rPr>
          <w:rStyle w:val="FootnoteReference"/>
          <w:color w:val="000000" w:themeColor="text1"/>
          <w:sz w:val="24"/>
          <w:szCs w:val="24"/>
        </w:rPr>
        <w:footnoteReference w:id="10"/>
      </w:r>
      <w:r w:rsidR="000E07E5" w:rsidRPr="000E07E5">
        <w:rPr>
          <w:color w:val="000000" w:themeColor="text1"/>
          <w:sz w:val="24"/>
          <w:szCs w:val="24"/>
        </w:rPr>
        <w:t xml:space="preserve">  </w:t>
      </w:r>
      <w:r w:rsidR="000E07E5" w:rsidRPr="000E07E5">
        <w:rPr>
          <w:bCs/>
          <w:color w:val="000000" w:themeColor="text1"/>
          <w:sz w:val="24"/>
          <w:szCs w:val="24"/>
        </w:rPr>
        <w:t xml:space="preserve">The current </w:t>
      </w:r>
      <w:r w:rsidR="00D459CC">
        <w:rPr>
          <w:bCs/>
          <w:color w:val="000000" w:themeColor="text1"/>
          <w:sz w:val="24"/>
          <w:szCs w:val="24"/>
        </w:rPr>
        <w:t>Task Group</w:t>
      </w:r>
      <w:r w:rsidR="000E07E5" w:rsidRPr="000E07E5">
        <w:rPr>
          <w:bCs/>
          <w:color w:val="000000" w:themeColor="text1"/>
          <w:sz w:val="24"/>
          <w:szCs w:val="24"/>
        </w:rPr>
        <w:t xml:space="preserve"> </w:t>
      </w:r>
      <w:r>
        <w:rPr>
          <w:bCs/>
          <w:color w:val="000000" w:themeColor="text1"/>
          <w:sz w:val="24"/>
          <w:szCs w:val="24"/>
        </w:rPr>
        <w:t xml:space="preserve">has </w:t>
      </w:r>
      <w:r w:rsidR="000E07E5" w:rsidRPr="000E07E5">
        <w:rPr>
          <w:bCs/>
          <w:color w:val="000000" w:themeColor="text1"/>
          <w:sz w:val="24"/>
          <w:szCs w:val="24"/>
        </w:rPr>
        <w:t>reviewed this question in the light of points raised in the 2016 report and the conversations held in workshops at the 2018 Conference.</w:t>
      </w:r>
      <w:r w:rsidR="00B6276C">
        <w:rPr>
          <w:rStyle w:val="FootnoteReference"/>
          <w:bCs/>
          <w:color w:val="000000" w:themeColor="text1"/>
          <w:sz w:val="24"/>
          <w:szCs w:val="24"/>
        </w:rPr>
        <w:footnoteReference w:id="11"/>
      </w:r>
    </w:p>
    <w:p w14:paraId="56CCE84C" w14:textId="4405093A" w:rsidR="00440489" w:rsidRDefault="00440489" w:rsidP="001419E1">
      <w:pPr>
        <w:tabs>
          <w:tab w:val="left" w:pos="567"/>
        </w:tabs>
        <w:ind w:left="567" w:right="-22" w:hanging="567"/>
        <w:rPr>
          <w:color w:val="000000" w:themeColor="text1"/>
          <w:sz w:val="24"/>
          <w:szCs w:val="24"/>
        </w:rPr>
      </w:pPr>
      <w:r>
        <w:rPr>
          <w:color w:val="000000" w:themeColor="text1"/>
          <w:sz w:val="24"/>
          <w:szCs w:val="24"/>
        </w:rPr>
        <w:t>D9</w:t>
      </w:r>
      <w:r>
        <w:rPr>
          <w:color w:val="000000" w:themeColor="text1"/>
          <w:sz w:val="24"/>
          <w:szCs w:val="24"/>
        </w:rPr>
        <w:tab/>
      </w:r>
      <w:r w:rsidR="000E07E5" w:rsidRPr="000E07E5">
        <w:rPr>
          <w:bCs/>
          <w:color w:val="000000" w:themeColor="text1"/>
          <w:sz w:val="24"/>
          <w:szCs w:val="24"/>
        </w:rPr>
        <w:t xml:space="preserve">The 2016 Report </w:t>
      </w:r>
      <w:r w:rsidR="007A669C">
        <w:rPr>
          <w:bCs/>
          <w:color w:val="000000" w:themeColor="text1"/>
          <w:sz w:val="24"/>
          <w:szCs w:val="24"/>
        </w:rPr>
        <w:t xml:space="preserve">stated that </w:t>
      </w:r>
      <w:r w:rsidR="00CC4E29">
        <w:rPr>
          <w:bCs/>
          <w:color w:val="000000" w:themeColor="text1"/>
          <w:sz w:val="24"/>
          <w:szCs w:val="24"/>
        </w:rPr>
        <w:t xml:space="preserve">the Task Group had </w:t>
      </w:r>
      <w:proofErr w:type="gramStart"/>
      <w:r w:rsidR="00CC4E29">
        <w:rPr>
          <w:bCs/>
          <w:color w:val="000000" w:themeColor="text1"/>
          <w:sz w:val="24"/>
          <w:szCs w:val="24"/>
        </w:rPr>
        <w:t>given extensive consideration to</w:t>
      </w:r>
      <w:proofErr w:type="gramEnd"/>
      <w:r w:rsidR="00CC4E29">
        <w:rPr>
          <w:bCs/>
          <w:color w:val="000000" w:themeColor="text1"/>
          <w:sz w:val="24"/>
          <w:szCs w:val="24"/>
        </w:rPr>
        <w:t xml:space="preserve"> the issue of cohabitation </w:t>
      </w:r>
      <w:r w:rsidR="00B773B8">
        <w:rPr>
          <w:bCs/>
          <w:color w:val="000000" w:themeColor="text1"/>
          <w:sz w:val="24"/>
          <w:szCs w:val="24"/>
        </w:rPr>
        <w:t xml:space="preserve">[2.2(h)] </w:t>
      </w:r>
      <w:r w:rsidR="00434ADA">
        <w:rPr>
          <w:bCs/>
          <w:color w:val="000000" w:themeColor="text1"/>
          <w:sz w:val="24"/>
          <w:szCs w:val="24"/>
        </w:rPr>
        <w:t xml:space="preserve">and had concluded that </w:t>
      </w:r>
      <w:r w:rsidR="00454DBF">
        <w:rPr>
          <w:bCs/>
          <w:color w:val="000000" w:themeColor="text1"/>
          <w:sz w:val="24"/>
          <w:szCs w:val="24"/>
        </w:rPr>
        <w:t xml:space="preserve">it could not be “adequately considered in isolation from the wider discussions </w:t>
      </w:r>
      <w:r w:rsidR="00A2441C">
        <w:rPr>
          <w:bCs/>
          <w:color w:val="000000" w:themeColor="text1"/>
          <w:sz w:val="24"/>
          <w:szCs w:val="24"/>
        </w:rPr>
        <w:t xml:space="preserve">on marriage and relationships”. </w:t>
      </w:r>
      <w:r w:rsidR="00B75531">
        <w:rPr>
          <w:bCs/>
          <w:color w:val="000000" w:themeColor="text1"/>
          <w:sz w:val="24"/>
          <w:szCs w:val="24"/>
        </w:rPr>
        <w:t xml:space="preserve">The report went on to note </w:t>
      </w:r>
      <w:r w:rsidR="000E07E5" w:rsidRPr="000E07E5">
        <w:rPr>
          <w:bCs/>
          <w:color w:val="000000" w:themeColor="text1"/>
          <w:sz w:val="24"/>
          <w:szCs w:val="24"/>
        </w:rPr>
        <w:t>that “</w:t>
      </w:r>
      <w:r w:rsidR="000E07E5" w:rsidRPr="000E07E5">
        <w:rPr>
          <w:color w:val="000000" w:themeColor="text1"/>
          <w:sz w:val="24"/>
          <w:szCs w:val="24"/>
        </w:rPr>
        <w:t xml:space="preserve">the core guidance for consideration of matters relating to cohabitation remains the 1992 Statement on </w:t>
      </w:r>
      <w:r w:rsidR="000E07E5" w:rsidRPr="000E07E5">
        <w:rPr>
          <w:i/>
          <w:iCs/>
          <w:color w:val="000000" w:themeColor="text1"/>
          <w:sz w:val="24"/>
          <w:szCs w:val="24"/>
        </w:rPr>
        <w:t>A Christian Understanding of Family Life, the Single Person and Marriage</w:t>
      </w:r>
      <w:r w:rsidR="000E07E5" w:rsidRPr="000E07E5">
        <w:rPr>
          <w:color w:val="000000" w:themeColor="text1"/>
          <w:sz w:val="24"/>
          <w:szCs w:val="24"/>
        </w:rPr>
        <w:t>.”</w:t>
      </w:r>
      <w:r w:rsidR="002E0867">
        <w:rPr>
          <w:rStyle w:val="FootnoteReference"/>
          <w:color w:val="000000" w:themeColor="text1"/>
          <w:sz w:val="24"/>
          <w:szCs w:val="24"/>
        </w:rPr>
        <w:footnoteReference w:id="12"/>
      </w:r>
      <w:r w:rsidR="000E07E5" w:rsidRPr="000E07E5">
        <w:rPr>
          <w:color w:val="000000" w:themeColor="text1"/>
          <w:sz w:val="24"/>
          <w:szCs w:val="24"/>
        </w:rPr>
        <w:t xml:space="preserve"> </w:t>
      </w:r>
      <w:r w:rsidR="000E07E5" w:rsidRPr="000E07E5">
        <w:rPr>
          <w:i/>
          <w:color w:val="000000" w:themeColor="text1"/>
          <w:sz w:val="24"/>
          <w:szCs w:val="24"/>
        </w:rPr>
        <w:t xml:space="preserve"> </w:t>
      </w:r>
      <w:r w:rsidR="00483154">
        <w:rPr>
          <w:color w:val="000000" w:themeColor="text1"/>
          <w:sz w:val="24"/>
          <w:szCs w:val="24"/>
        </w:rPr>
        <w:t xml:space="preserve">It then </w:t>
      </w:r>
      <w:r w:rsidR="000E07E5" w:rsidRPr="000E07E5">
        <w:rPr>
          <w:color w:val="000000" w:themeColor="text1"/>
          <w:sz w:val="24"/>
          <w:szCs w:val="24"/>
        </w:rPr>
        <w:t xml:space="preserve">stated that “whilst valuing much of the Statement, the </w:t>
      </w:r>
      <w:r w:rsidR="00D459CC">
        <w:rPr>
          <w:color w:val="000000" w:themeColor="text1"/>
          <w:sz w:val="24"/>
          <w:szCs w:val="24"/>
        </w:rPr>
        <w:t>Task Group</w:t>
      </w:r>
      <w:r w:rsidR="000E07E5" w:rsidRPr="000E07E5">
        <w:rPr>
          <w:color w:val="000000" w:themeColor="text1"/>
          <w:sz w:val="24"/>
          <w:szCs w:val="24"/>
        </w:rPr>
        <w:t xml:space="preserve"> considers that it should be updated, or, at the very least, that pastoral and policy guidance be created.”</w:t>
      </w:r>
      <w:r w:rsidR="002E0867">
        <w:rPr>
          <w:rStyle w:val="FootnoteReference"/>
          <w:color w:val="000000" w:themeColor="text1"/>
          <w:sz w:val="24"/>
          <w:szCs w:val="24"/>
        </w:rPr>
        <w:footnoteReference w:id="13"/>
      </w:r>
    </w:p>
    <w:p w14:paraId="2982E4BF" w14:textId="020D7EE7" w:rsidR="000E07E5" w:rsidRPr="000E07E5" w:rsidRDefault="00412F8B" w:rsidP="001419E1">
      <w:pPr>
        <w:tabs>
          <w:tab w:val="left" w:pos="567"/>
        </w:tabs>
        <w:ind w:left="567" w:right="-22" w:hanging="567"/>
        <w:rPr>
          <w:color w:val="000000" w:themeColor="text1"/>
          <w:sz w:val="24"/>
          <w:szCs w:val="24"/>
        </w:rPr>
      </w:pPr>
      <w:r>
        <w:rPr>
          <w:color w:val="000000" w:themeColor="text1"/>
          <w:sz w:val="24"/>
          <w:szCs w:val="24"/>
        </w:rPr>
        <w:t>D10</w:t>
      </w:r>
      <w:r>
        <w:rPr>
          <w:color w:val="000000" w:themeColor="text1"/>
          <w:sz w:val="24"/>
          <w:szCs w:val="24"/>
        </w:rPr>
        <w:tab/>
      </w:r>
      <w:r w:rsidR="000E07E5" w:rsidRPr="000E07E5">
        <w:rPr>
          <w:bCs/>
          <w:color w:val="000000" w:themeColor="text1"/>
          <w:sz w:val="24"/>
          <w:szCs w:val="24"/>
        </w:rPr>
        <w:t xml:space="preserve">The 2016 </w:t>
      </w:r>
      <w:r w:rsidR="00D459CC">
        <w:rPr>
          <w:bCs/>
          <w:color w:val="000000" w:themeColor="text1"/>
          <w:sz w:val="24"/>
          <w:szCs w:val="24"/>
        </w:rPr>
        <w:t>Task Group</w:t>
      </w:r>
      <w:r w:rsidR="000E07E5" w:rsidRPr="000E07E5">
        <w:rPr>
          <w:bCs/>
          <w:color w:val="000000" w:themeColor="text1"/>
          <w:sz w:val="24"/>
          <w:szCs w:val="24"/>
        </w:rPr>
        <w:t xml:space="preserve"> raised the following questions with regard to </w:t>
      </w:r>
      <w:proofErr w:type="gramStart"/>
      <w:r w:rsidR="000E07E5" w:rsidRPr="000E07E5">
        <w:rPr>
          <w:bCs/>
          <w:color w:val="000000" w:themeColor="text1"/>
          <w:sz w:val="24"/>
          <w:szCs w:val="24"/>
        </w:rPr>
        <w:t>cohabitation which they felt</w:t>
      </w:r>
      <w:proofErr w:type="gramEnd"/>
      <w:r w:rsidR="000E07E5" w:rsidRPr="000E07E5">
        <w:rPr>
          <w:bCs/>
          <w:color w:val="000000" w:themeColor="text1"/>
          <w:sz w:val="24"/>
          <w:szCs w:val="24"/>
        </w:rPr>
        <w:t xml:space="preserve"> would benefit from further discussion and theological reflection:</w:t>
      </w:r>
    </w:p>
    <w:p w14:paraId="1D8E4CC7" w14:textId="5287363F" w:rsidR="000E07E5" w:rsidRPr="000E07E5" w:rsidRDefault="000E07E5" w:rsidP="001419E1">
      <w:pPr>
        <w:tabs>
          <w:tab w:val="left" w:pos="567"/>
          <w:tab w:val="left" w:pos="851"/>
        </w:tabs>
        <w:ind w:left="851" w:right="-22" w:hanging="284"/>
        <w:rPr>
          <w:color w:val="000000" w:themeColor="text1"/>
          <w:sz w:val="24"/>
          <w:szCs w:val="24"/>
        </w:rPr>
      </w:pPr>
      <w:r w:rsidRPr="000E07E5">
        <w:rPr>
          <w:color w:val="000000" w:themeColor="text1"/>
          <w:sz w:val="24"/>
          <w:szCs w:val="24"/>
        </w:rPr>
        <w:t>a)</w:t>
      </w:r>
      <w:r w:rsidR="00412F8B">
        <w:rPr>
          <w:color w:val="000000" w:themeColor="text1"/>
          <w:sz w:val="24"/>
          <w:szCs w:val="24"/>
        </w:rPr>
        <w:tab/>
      </w:r>
      <w:r w:rsidRPr="000E07E5">
        <w:rPr>
          <w:color w:val="000000" w:themeColor="text1"/>
          <w:sz w:val="24"/>
          <w:szCs w:val="24"/>
        </w:rPr>
        <w:t xml:space="preserve">What constitutes marriage? </w:t>
      </w:r>
    </w:p>
    <w:p w14:paraId="77243C84" w14:textId="2838ED73" w:rsidR="000E07E5" w:rsidRPr="000E07E5" w:rsidRDefault="000E07E5" w:rsidP="001419E1">
      <w:pPr>
        <w:tabs>
          <w:tab w:val="left" w:pos="567"/>
          <w:tab w:val="left" w:pos="851"/>
        </w:tabs>
        <w:ind w:left="851" w:right="-22" w:hanging="284"/>
        <w:rPr>
          <w:color w:val="000000" w:themeColor="text1"/>
          <w:sz w:val="24"/>
          <w:szCs w:val="24"/>
        </w:rPr>
      </w:pPr>
      <w:r w:rsidRPr="000E07E5">
        <w:rPr>
          <w:color w:val="000000" w:themeColor="text1"/>
          <w:sz w:val="24"/>
          <w:szCs w:val="24"/>
        </w:rPr>
        <w:t xml:space="preserve">b) </w:t>
      </w:r>
      <w:r w:rsidR="00412F8B">
        <w:rPr>
          <w:color w:val="000000" w:themeColor="text1"/>
          <w:sz w:val="24"/>
          <w:szCs w:val="24"/>
        </w:rPr>
        <w:tab/>
      </w:r>
      <w:r w:rsidRPr="000E07E5">
        <w:rPr>
          <w:color w:val="000000" w:themeColor="text1"/>
          <w:sz w:val="24"/>
          <w:szCs w:val="24"/>
        </w:rPr>
        <w:t xml:space="preserve">When does marriage begin? </w:t>
      </w:r>
    </w:p>
    <w:p w14:paraId="44328612" w14:textId="2AFA1119" w:rsidR="000E07E5" w:rsidRPr="000E07E5" w:rsidRDefault="000E07E5" w:rsidP="001419E1">
      <w:pPr>
        <w:tabs>
          <w:tab w:val="left" w:pos="567"/>
          <w:tab w:val="left" w:pos="851"/>
        </w:tabs>
        <w:ind w:left="851" w:right="-22" w:hanging="284"/>
        <w:rPr>
          <w:color w:val="000000" w:themeColor="text1"/>
          <w:sz w:val="24"/>
          <w:szCs w:val="24"/>
        </w:rPr>
      </w:pPr>
      <w:r w:rsidRPr="000E07E5">
        <w:rPr>
          <w:color w:val="000000" w:themeColor="text1"/>
          <w:sz w:val="24"/>
          <w:szCs w:val="24"/>
        </w:rPr>
        <w:t xml:space="preserve">c) </w:t>
      </w:r>
      <w:r w:rsidR="00412F8B">
        <w:rPr>
          <w:color w:val="000000" w:themeColor="text1"/>
          <w:sz w:val="24"/>
          <w:szCs w:val="24"/>
        </w:rPr>
        <w:tab/>
      </w:r>
      <w:r w:rsidRPr="000E07E5">
        <w:rPr>
          <w:color w:val="000000" w:themeColor="text1"/>
          <w:sz w:val="24"/>
          <w:szCs w:val="24"/>
        </w:rPr>
        <w:t xml:space="preserve">Is cohabitation a form of marriage? </w:t>
      </w:r>
    </w:p>
    <w:p w14:paraId="614E2C97" w14:textId="566EA806" w:rsidR="000E07E5" w:rsidRPr="000E07E5" w:rsidRDefault="000E07E5" w:rsidP="001419E1">
      <w:pPr>
        <w:tabs>
          <w:tab w:val="left" w:pos="567"/>
          <w:tab w:val="left" w:pos="851"/>
        </w:tabs>
        <w:ind w:left="851" w:right="-22" w:hanging="284"/>
        <w:rPr>
          <w:color w:val="000000" w:themeColor="text1"/>
          <w:sz w:val="24"/>
          <w:szCs w:val="24"/>
        </w:rPr>
      </w:pPr>
      <w:r w:rsidRPr="000E07E5">
        <w:rPr>
          <w:color w:val="000000" w:themeColor="text1"/>
          <w:sz w:val="24"/>
          <w:szCs w:val="24"/>
        </w:rPr>
        <w:t xml:space="preserve">d) </w:t>
      </w:r>
      <w:r w:rsidR="00412F8B">
        <w:rPr>
          <w:color w:val="000000" w:themeColor="text1"/>
          <w:sz w:val="24"/>
          <w:szCs w:val="24"/>
        </w:rPr>
        <w:tab/>
      </w:r>
      <w:r w:rsidRPr="000E07E5">
        <w:rPr>
          <w:color w:val="000000" w:themeColor="text1"/>
          <w:sz w:val="24"/>
          <w:szCs w:val="24"/>
        </w:rPr>
        <w:t xml:space="preserve">Is there a need for an outward ceremony? </w:t>
      </w:r>
    </w:p>
    <w:p w14:paraId="0F1184B6" w14:textId="6E30D401" w:rsidR="000E07E5" w:rsidRPr="000E07E5" w:rsidRDefault="000E07E5" w:rsidP="001419E1">
      <w:pPr>
        <w:tabs>
          <w:tab w:val="left" w:pos="567"/>
          <w:tab w:val="left" w:pos="851"/>
        </w:tabs>
        <w:ind w:left="851" w:right="-22" w:hanging="284"/>
        <w:rPr>
          <w:color w:val="000000" w:themeColor="text1"/>
          <w:sz w:val="24"/>
          <w:szCs w:val="24"/>
        </w:rPr>
      </w:pPr>
      <w:r w:rsidRPr="000E07E5">
        <w:rPr>
          <w:color w:val="000000" w:themeColor="text1"/>
          <w:sz w:val="24"/>
          <w:szCs w:val="24"/>
        </w:rPr>
        <w:t xml:space="preserve">e) </w:t>
      </w:r>
      <w:r w:rsidR="00412F8B">
        <w:rPr>
          <w:color w:val="000000" w:themeColor="text1"/>
          <w:sz w:val="24"/>
          <w:szCs w:val="24"/>
        </w:rPr>
        <w:tab/>
      </w:r>
      <w:r w:rsidRPr="000E07E5">
        <w:rPr>
          <w:color w:val="000000" w:themeColor="text1"/>
          <w:sz w:val="24"/>
          <w:szCs w:val="24"/>
        </w:rPr>
        <w:t xml:space="preserve">How can we affirm fidelity and monogamy in relationships that may not be legally or institutionally formed? </w:t>
      </w:r>
    </w:p>
    <w:p w14:paraId="2E1CE427" w14:textId="624224CB" w:rsidR="000E07E5" w:rsidRPr="000E07E5" w:rsidRDefault="000E07E5" w:rsidP="001419E1">
      <w:pPr>
        <w:tabs>
          <w:tab w:val="left" w:pos="567"/>
          <w:tab w:val="left" w:pos="851"/>
        </w:tabs>
        <w:ind w:left="851" w:right="-22" w:hanging="284"/>
        <w:rPr>
          <w:color w:val="000000" w:themeColor="text1"/>
          <w:sz w:val="24"/>
          <w:szCs w:val="24"/>
        </w:rPr>
      </w:pPr>
      <w:r w:rsidRPr="000E07E5">
        <w:rPr>
          <w:color w:val="000000" w:themeColor="text1"/>
          <w:sz w:val="24"/>
          <w:szCs w:val="24"/>
        </w:rPr>
        <w:t xml:space="preserve">f) </w:t>
      </w:r>
      <w:r w:rsidR="00412F8B">
        <w:rPr>
          <w:color w:val="000000" w:themeColor="text1"/>
          <w:sz w:val="24"/>
          <w:szCs w:val="24"/>
        </w:rPr>
        <w:tab/>
      </w:r>
      <w:r w:rsidRPr="000E07E5">
        <w:rPr>
          <w:color w:val="000000" w:themeColor="text1"/>
          <w:sz w:val="24"/>
          <w:szCs w:val="24"/>
        </w:rPr>
        <w:t xml:space="preserve">Why do some people choose to cohabit rather than marry? </w:t>
      </w:r>
    </w:p>
    <w:p w14:paraId="25698230" w14:textId="1E8A7875" w:rsidR="000E07E5" w:rsidRPr="000E07E5" w:rsidRDefault="000E07E5" w:rsidP="001419E1">
      <w:pPr>
        <w:tabs>
          <w:tab w:val="left" w:pos="567"/>
          <w:tab w:val="left" w:pos="851"/>
        </w:tabs>
        <w:ind w:left="851" w:right="-22" w:hanging="284"/>
        <w:rPr>
          <w:color w:val="000000" w:themeColor="text1"/>
          <w:sz w:val="24"/>
          <w:szCs w:val="24"/>
        </w:rPr>
      </w:pPr>
      <w:r w:rsidRPr="000E07E5">
        <w:rPr>
          <w:color w:val="000000" w:themeColor="text1"/>
          <w:sz w:val="24"/>
          <w:szCs w:val="24"/>
        </w:rPr>
        <w:t xml:space="preserve">g) </w:t>
      </w:r>
      <w:r w:rsidR="00412F8B">
        <w:rPr>
          <w:color w:val="000000" w:themeColor="text1"/>
          <w:sz w:val="24"/>
          <w:szCs w:val="24"/>
        </w:rPr>
        <w:tab/>
      </w:r>
      <w:r w:rsidRPr="000E07E5">
        <w:rPr>
          <w:color w:val="000000" w:themeColor="text1"/>
          <w:sz w:val="24"/>
          <w:szCs w:val="24"/>
        </w:rPr>
        <w:t xml:space="preserve">Why do some people live together for a period and then choose to marry? </w:t>
      </w:r>
    </w:p>
    <w:p w14:paraId="5BB432FE" w14:textId="413BEBE2" w:rsidR="000E07E5" w:rsidRPr="000E07E5" w:rsidRDefault="000E07E5" w:rsidP="001419E1">
      <w:pPr>
        <w:tabs>
          <w:tab w:val="left" w:pos="567"/>
          <w:tab w:val="left" w:pos="851"/>
        </w:tabs>
        <w:ind w:left="851" w:right="-22" w:hanging="284"/>
        <w:rPr>
          <w:color w:val="000000" w:themeColor="text1"/>
          <w:sz w:val="24"/>
          <w:szCs w:val="24"/>
        </w:rPr>
      </w:pPr>
      <w:r w:rsidRPr="000E07E5">
        <w:rPr>
          <w:color w:val="000000" w:themeColor="text1"/>
          <w:sz w:val="24"/>
          <w:szCs w:val="24"/>
        </w:rPr>
        <w:t xml:space="preserve">h) </w:t>
      </w:r>
      <w:r w:rsidR="00412F8B">
        <w:rPr>
          <w:color w:val="000000" w:themeColor="text1"/>
          <w:sz w:val="24"/>
          <w:szCs w:val="24"/>
        </w:rPr>
        <w:tab/>
      </w:r>
      <w:r w:rsidRPr="000E07E5">
        <w:rPr>
          <w:color w:val="000000" w:themeColor="text1"/>
          <w:sz w:val="24"/>
          <w:szCs w:val="24"/>
        </w:rPr>
        <w:t xml:space="preserve">Why do some people seek civil partnership rather than marriage? This last point also acknowledges a trend in society whereby some opposite sex couples wish the law to be changed to allow the opportunity for civil partnership to be extended to them </w:t>
      </w:r>
    </w:p>
    <w:p w14:paraId="65606F4C" w14:textId="0AF984C2" w:rsidR="000E07E5" w:rsidRPr="000E07E5" w:rsidRDefault="00AB424E" w:rsidP="001419E1">
      <w:pPr>
        <w:tabs>
          <w:tab w:val="left" w:pos="567"/>
        </w:tabs>
        <w:ind w:left="567" w:right="-22" w:hanging="567"/>
        <w:rPr>
          <w:bCs/>
          <w:color w:val="000000" w:themeColor="text1"/>
          <w:sz w:val="24"/>
          <w:szCs w:val="24"/>
        </w:rPr>
      </w:pPr>
      <w:r>
        <w:rPr>
          <w:bCs/>
          <w:color w:val="000000" w:themeColor="text1"/>
          <w:sz w:val="24"/>
          <w:szCs w:val="24"/>
        </w:rPr>
        <w:t>D11</w:t>
      </w:r>
      <w:r>
        <w:rPr>
          <w:bCs/>
          <w:color w:val="000000" w:themeColor="text1"/>
          <w:sz w:val="24"/>
          <w:szCs w:val="24"/>
        </w:rPr>
        <w:tab/>
      </w:r>
      <w:r w:rsidR="000E07E5" w:rsidRPr="000E07E5">
        <w:rPr>
          <w:bCs/>
          <w:color w:val="000000" w:themeColor="text1"/>
          <w:sz w:val="24"/>
          <w:szCs w:val="24"/>
        </w:rPr>
        <w:t xml:space="preserve">The 2019 Report has developed a fresh approach to looking at relationships in general and in the light of this </w:t>
      </w:r>
      <w:r w:rsidR="002E0867">
        <w:rPr>
          <w:bCs/>
          <w:color w:val="000000" w:themeColor="text1"/>
          <w:sz w:val="24"/>
          <w:szCs w:val="24"/>
        </w:rPr>
        <w:t xml:space="preserve">has </w:t>
      </w:r>
      <w:r w:rsidR="000E07E5" w:rsidRPr="000E07E5">
        <w:rPr>
          <w:bCs/>
          <w:color w:val="000000" w:themeColor="text1"/>
          <w:sz w:val="24"/>
          <w:szCs w:val="24"/>
        </w:rPr>
        <w:t>considered cohabitation in particular.</w:t>
      </w:r>
      <w:r w:rsidR="002E0867">
        <w:rPr>
          <w:rStyle w:val="FootnoteReference"/>
          <w:bCs/>
          <w:color w:val="000000" w:themeColor="text1"/>
          <w:sz w:val="24"/>
          <w:szCs w:val="24"/>
        </w:rPr>
        <w:footnoteReference w:id="14"/>
      </w:r>
    </w:p>
    <w:p w14:paraId="3F9A9C83" w14:textId="2166B3BC" w:rsidR="000E07E5" w:rsidRPr="000E07E5" w:rsidRDefault="00743969" w:rsidP="001419E1">
      <w:pPr>
        <w:tabs>
          <w:tab w:val="left" w:pos="567"/>
        </w:tabs>
        <w:ind w:left="567" w:right="-22" w:hanging="567"/>
        <w:rPr>
          <w:bCs/>
          <w:color w:val="000000" w:themeColor="text1"/>
          <w:sz w:val="24"/>
          <w:szCs w:val="24"/>
        </w:rPr>
      </w:pPr>
      <w:r>
        <w:rPr>
          <w:bCs/>
          <w:color w:val="000000" w:themeColor="text1"/>
          <w:sz w:val="24"/>
          <w:szCs w:val="24"/>
        </w:rPr>
        <w:t>D12</w:t>
      </w:r>
      <w:r>
        <w:rPr>
          <w:bCs/>
          <w:color w:val="000000" w:themeColor="text1"/>
          <w:sz w:val="24"/>
          <w:szCs w:val="24"/>
        </w:rPr>
        <w:tab/>
      </w:r>
      <w:r w:rsidR="000E07E5" w:rsidRPr="000E07E5">
        <w:rPr>
          <w:bCs/>
          <w:color w:val="000000" w:themeColor="text1"/>
          <w:sz w:val="24"/>
          <w:szCs w:val="24"/>
        </w:rPr>
        <w:t xml:space="preserve">In discussing what material is already available to encourage wider discussions about marriage and other relationships the 2016 report noted that </w:t>
      </w:r>
      <w:r w:rsidR="00727113">
        <w:rPr>
          <w:bCs/>
          <w:color w:val="000000" w:themeColor="text1"/>
          <w:sz w:val="24"/>
          <w:szCs w:val="24"/>
        </w:rPr>
        <w:t>“</w:t>
      </w:r>
      <w:r w:rsidR="000E07E5" w:rsidRPr="000E07E5">
        <w:rPr>
          <w:bCs/>
          <w:color w:val="000000" w:themeColor="text1"/>
          <w:sz w:val="24"/>
          <w:szCs w:val="24"/>
        </w:rPr>
        <w:t>the 1992 Statement</w:t>
      </w:r>
      <w:r w:rsidR="00727113">
        <w:rPr>
          <w:bCs/>
          <w:color w:val="000000" w:themeColor="text1"/>
          <w:sz w:val="24"/>
          <w:szCs w:val="24"/>
        </w:rPr>
        <w:t>,</w:t>
      </w:r>
      <w:r w:rsidR="000E07E5" w:rsidRPr="000E07E5">
        <w:rPr>
          <w:bCs/>
          <w:color w:val="000000" w:themeColor="text1"/>
          <w:sz w:val="24"/>
          <w:szCs w:val="24"/>
        </w:rPr>
        <w:t xml:space="preserve"> subsequent reports and resolutions</w:t>
      </w:r>
      <w:r w:rsidR="00727113">
        <w:rPr>
          <w:bCs/>
          <w:color w:val="000000" w:themeColor="text1"/>
          <w:sz w:val="24"/>
          <w:szCs w:val="24"/>
        </w:rPr>
        <w:t xml:space="preserve"> (as set out in 3</w:t>
      </w:r>
      <w:r w:rsidR="00A75044">
        <w:rPr>
          <w:bCs/>
          <w:color w:val="000000" w:themeColor="text1"/>
          <w:sz w:val="24"/>
          <w:szCs w:val="24"/>
        </w:rPr>
        <w:t>.5.2…</w:t>
      </w:r>
      <w:r w:rsidR="00F21147">
        <w:rPr>
          <w:bCs/>
          <w:i/>
          <w:color w:val="000000" w:themeColor="text1"/>
          <w:sz w:val="24"/>
          <w:szCs w:val="24"/>
        </w:rPr>
        <w:t>sc. of the 2016 report</w:t>
      </w:r>
      <w:r w:rsidR="00A75044">
        <w:rPr>
          <w:bCs/>
          <w:color w:val="000000" w:themeColor="text1"/>
          <w:sz w:val="24"/>
          <w:szCs w:val="24"/>
        </w:rPr>
        <w:t>)</w:t>
      </w:r>
      <w:r w:rsidR="000E07E5" w:rsidRPr="000E07E5">
        <w:rPr>
          <w:bCs/>
          <w:color w:val="000000" w:themeColor="text1"/>
          <w:sz w:val="24"/>
          <w:szCs w:val="24"/>
        </w:rPr>
        <w:t xml:space="preserve"> should be commended for further discussion and supported through pastoral and policy guidance</w:t>
      </w:r>
      <w:r w:rsidR="00A75044">
        <w:rPr>
          <w:bCs/>
          <w:color w:val="000000" w:themeColor="text1"/>
          <w:sz w:val="24"/>
          <w:szCs w:val="24"/>
        </w:rPr>
        <w:t>”</w:t>
      </w:r>
      <w:r w:rsidR="000E07E5" w:rsidRPr="000E07E5">
        <w:rPr>
          <w:bCs/>
          <w:color w:val="000000" w:themeColor="text1"/>
          <w:sz w:val="24"/>
          <w:szCs w:val="24"/>
        </w:rPr>
        <w:t>.</w:t>
      </w:r>
      <w:r w:rsidR="00C644AF">
        <w:rPr>
          <w:rStyle w:val="FootnoteReference"/>
          <w:bCs/>
          <w:color w:val="000000" w:themeColor="text1"/>
          <w:sz w:val="24"/>
          <w:szCs w:val="24"/>
        </w:rPr>
        <w:footnoteReference w:id="15"/>
      </w:r>
      <w:r w:rsidR="000E07E5" w:rsidRPr="000E07E5">
        <w:rPr>
          <w:bCs/>
          <w:color w:val="000000" w:themeColor="text1"/>
          <w:sz w:val="24"/>
          <w:szCs w:val="24"/>
        </w:rPr>
        <w:t xml:space="preserve"> The </w:t>
      </w:r>
      <w:r w:rsidR="00D459CC">
        <w:rPr>
          <w:bCs/>
          <w:color w:val="000000" w:themeColor="text1"/>
          <w:sz w:val="24"/>
          <w:szCs w:val="24"/>
        </w:rPr>
        <w:t>Task Group</w:t>
      </w:r>
      <w:r w:rsidR="000E07E5" w:rsidRPr="000E07E5">
        <w:rPr>
          <w:bCs/>
          <w:color w:val="000000" w:themeColor="text1"/>
          <w:sz w:val="24"/>
          <w:szCs w:val="24"/>
        </w:rPr>
        <w:t xml:space="preserve"> noted that a significant proportion of marriages in the Methodist Church involve at least one person who has been divorced, along with a wide diversity of other backgrounds and that this diversity should be recognised in pastoral guidance.</w:t>
      </w:r>
      <w:r w:rsidR="00611937">
        <w:rPr>
          <w:rStyle w:val="FootnoteReference"/>
          <w:bCs/>
          <w:color w:val="000000" w:themeColor="text1"/>
          <w:sz w:val="24"/>
          <w:szCs w:val="24"/>
        </w:rPr>
        <w:footnoteReference w:id="16"/>
      </w:r>
      <w:r w:rsidR="000E07E5" w:rsidRPr="000E07E5">
        <w:rPr>
          <w:bCs/>
          <w:color w:val="000000" w:themeColor="text1"/>
          <w:sz w:val="24"/>
          <w:szCs w:val="24"/>
        </w:rPr>
        <w:t xml:space="preserve"> </w:t>
      </w:r>
      <w:r w:rsidR="00A75044">
        <w:rPr>
          <w:bCs/>
          <w:color w:val="000000" w:themeColor="text1"/>
          <w:sz w:val="24"/>
          <w:szCs w:val="24"/>
        </w:rPr>
        <w:t xml:space="preserve">The 2016 report suggested that the Methodist Council consider whether specific Methodist resources could be helpful after any updating of the 1992 Statement. </w:t>
      </w:r>
      <w:r w:rsidR="000E07E5" w:rsidRPr="000E07E5">
        <w:rPr>
          <w:bCs/>
          <w:color w:val="000000" w:themeColor="text1"/>
          <w:sz w:val="24"/>
          <w:szCs w:val="24"/>
        </w:rPr>
        <w:t>The 2019 report calls for the development of resources to support marriage and other relationships.</w:t>
      </w:r>
      <w:r w:rsidR="00A75044">
        <w:rPr>
          <w:rStyle w:val="FootnoteReference"/>
          <w:bCs/>
          <w:color w:val="000000" w:themeColor="text1"/>
          <w:sz w:val="24"/>
          <w:szCs w:val="24"/>
        </w:rPr>
        <w:footnoteReference w:id="17"/>
      </w:r>
      <w:r w:rsidR="000E07E5" w:rsidRPr="000E07E5">
        <w:rPr>
          <w:bCs/>
          <w:color w:val="000000" w:themeColor="text1"/>
          <w:sz w:val="24"/>
          <w:szCs w:val="24"/>
        </w:rPr>
        <w:t xml:space="preserve"> This could take into consideration all of the backgrounds noted in the 2016 report.</w:t>
      </w:r>
    </w:p>
    <w:p w14:paraId="1832257C" w14:textId="0DE16949" w:rsidR="00ED2B18" w:rsidRDefault="0018533B" w:rsidP="001419E1">
      <w:pPr>
        <w:tabs>
          <w:tab w:val="left" w:pos="567"/>
        </w:tabs>
        <w:ind w:left="567" w:right="-22" w:hanging="567"/>
        <w:rPr>
          <w:color w:val="000000" w:themeColor="text1"/>
          <w:sz w:val="24"/>
          <w:szCs w:val="24"/>
        </w:rPr>
      </w:pPr>
      <w:r>
        <w:rPr>
          <w:bCs/>
          <w:color w:val="000000" w:themeColor="text1"/>
          <w:sz w:val="24"/>
          <w:szCs w:val="24"/>
        </w:rPr>
        <w:t>D13</w:t>
      </w:r>
      <w:r>
        <w:rPr>
          <w:bCs/>
          <w:color w:val="000000" w:themeColor="text1"/>
          <w:sz w:val="24"/>
          <w:szCs w:val="24"/>
        </w:rPr>
        <w:tab/>
      </w:r>
      <w:r w:rsidR="000E07E5" w:rsidRPr="000E07E5">
        <w:rPr>
          <w:bCs/>
          <w:color w:val="000000" w:themeColor="text1"/>
          <w:sz w:val="24"/>
          <w:szCs w:val="24"/>
        </w:rPr>
        <w:t xml:space="preserve">The 2016 report raised Transgender issues and noted the work being undertaken by the EDI Committee who advised </w:t>
      </w:r>
      <w:r w:rsidR="000E07E5" w:rsidRPr="000E07E5">
        <w:rPr>
          <w:color w:val="000000" w:themeColor="text1"/>
          <w:sz w:val="24"/>
          <w:szCs w:val="24"/>
        </w:rPr>
        <w:t>“Provision is a must for transgender and intersex state persons; the physiological reality is that gender is significantly more complex than male and female”.</w:t>
      </w:r>
      <w:r w:rsidR="007C4D31">
        <w:rPr>
          <w:rStyle w:val="FootnoteReference"/>
          <w:color w:val="000000" w:themeColor="text1"/>
          <w:sz w:val="24"/>
          <w:szCs w:val="24"/>
        </w:rPr>
        <w:footnoteReference w:id="18"/>
      </w:r>
      <w:r w:rsidR="000E07E5" w:rsidRPr="000E07E5">
        <w:rPr>
          <w:color w:val="000000" w:themeColor="text1"/>
          <w:sz w:val="24"/>
          <w:szCs w:val="24"/>
        </w:rPr>
        <w:t xml:space="preserve"> The 2019 report has included a reflection on developments in understandings of sex and gender.</w:t>
      </w:r>
      <w:r w:rsidR="00226677">
        <w:rPr>
          <w:rStyle w:val="FootnoteReference"/>
          <w:color w:val="000000" w:themeColor="text1"/>
          <w:sz w:val="24"/>
          <w:szCs w:val="24"/>
        </w:rPr>
        <w:footnoteReference w:id="19"/>
      </w:r>
      <w:r w:rsidR="000E07E5" w:rsidRPr="000E07E5">
        <w:rPr>
          <w:color w:val="000000" w:themeColor="text1"/>
          <w:sz w:val="24"/>
          <w:szCs w:val="24"/>
        </w:rPr>
        <w:t xml:space="preserve"> And the application of its reflections on relationships in general to all people regardless of sexuality or gender. The 2019 </w:t>
      </w:r>
      <w:r w:rsidR="00D459CC">
        <w:rPr>
          <w:color w:val="000000" w:themeColor="text1"/>
          <w:sz w:val="24"/>
          <w:szCs w:val="24"/>
        </w:rPr>
        <w:t>Task Group</w:t>
      </w:r>
      <w:r w:rsidR="000E07E5" w:rsidRPr="000E07E5">
        <w:rPr>
          <w:color w:val="000000" w:themeColor="text1"/>
          <w:sz w:val="24"/>
          <w:szCs w:val="24"/>
        </w:rPr>
        <w:t xml:space="preserve"> are thankful for the ongoing work of the EDI committee to build our understanding of issues of gender and sexuality and note the recommendation that any work on transgender should only be undertaken on the principle of including transgender people in the considerations.</w:t>
      </w:r>
      <w:r w:rsidR="00226677">
        <w:rPr>
          <w:rStyle w:val="FootnoteReference"/>
          <w:color w:val="000000" w:themeColor="text1"/>
          <w:sz w:val="24"/>
          <w:szCs w:val="24"/>
        </w:rPr>
        <w:footnoteReference w:id="20"/>
      </w:r>
    </w:p>
    <w:p w14:paraId="5AD3567E" w14:textId="26FD5C87" w:rsidR="000E07E5" w:rsidRPr="000E07E5" w:rsidRDefault="00ED2B18" w:rsidP="001419E1">
      <w:pPr>
        <w:tabs>
          <w:tab w:val="left" w:pos="567"/>
        </w:tabs>
        <w:ind w:left="567" w:right="-22" w:hanging="567"/>
        <w:rPr>
          <w:color w:val="000000" w:themeColor="text1"/>
          <w:sz w:val="24"/>
          <w:szCs w:val="24"/>
        </w:rPr>
      </w:pPr>
      <w:r>
        <w:rPr>
          <w:color w:val="000000" w:themeColor="text1"/>
          <w:sz w:val="24"/>
          <w:szCs w:val="24"/>
        </w:rPr>
        <w:t>D14</w:t>
      </w:r>
      <w:r>
        <w:rPr>
          <w:color w:val="000000" w:themeColor="text1"/>
          <w:sz w:val="24"/>
          <w:szCs w:val="24"/>
        </w:rPr>
        <w:tab/>
      </w:r>
      <w:r w:rsidR="000E07E5" w:rsidRPr="000E07E5">
        <w:rPr>
          <w:color w:val="000000" w:themeColor="text1"/>
          <w:sz w:val="24"/>
          <w:szCs w:val="24"/>
        </w:rPr>
        <w:t xml:space="preserve">The 2016 </w:t>
      </w:r>
      <w:r w:rsidR="00CA1444">
        <w:rPr>
          <w:color w:val="000000" w:themeColor="text1"/>
          <w:sz w:val="24"/>
          <w:szCs w:val="24"/>
        </w:rPr>
        <w:t>r</w:t>
      </w:r>
      <w:r w:rsidR="000E07E5" w:rsidRPr="000E07E5">
        <w:rPr>
          <w:color w:val="000000" w:themeColor="text1"/>
          <w:sz w:val="24"/>
          <w:szCs w:val="24"/>
        </w:rPr>
        <w:t>eport notes that there have been “societal changes in relation to adoption, fostering, and surrogacy” and that the 1992 Statement needed additional attention with regard to these areas.</w:t>
      </w:r>
      <w:r w:rsidR="005B7A49">
        <w:rPr>
          <w:rStyle w:val="FootnoteReference"/>
          <w:color w:val="000000" w:themeColor="text1"/>
          <w:sz w:val="24"/>
          <w:szCs w:val="24"/>
        </w:rPr>
        <w:footnoteReference w:id="21"/>
      </w:r>
      <w:r w:rsidR="000E07E5" w:rsidRPr="000E07E5">
        <w:rPr>
          <w:color w:val="000000" w:themeColor="text1"/>
          <w:sz w:val="24"/>
          <w:szCs w:val="24"/>
        </w:rPr>
        <w:t xml:space="preserve">  The Faith and Order Committee noted that in specific areas such as the legal status of fostering and adoption the language of the 1992 Statement needed updating.</w:t>
      </w:r>
      <w:r w:rsidR="00DC48A8">
        <w:rPr>
          <w:rStyle w:val="FootnoteReference"/>
          <w:color w:val="000000" w:themeColor="text1"/>
          <w:sz w:val="24"/>
          <w:szCs w:val="24"/>
        </w:rPr>
        <w:footnoteReference w:id="22"/>
      </w:r>
      <w:r w:rsidR="000E07E5" w:rsidRPr="000E07E5">
        <w:rPr>
          <w:color w:val="000000" w:themeColor="text1"/>
          <w:sz w:val="24"/>
          <w:szCs w:val="24"/>
        </w:rPr>
        <w:t xml:space="preserve"> </w:t>
      </w:r>
      <w:r w:rsidR="006202BD">
        <w:rPr>
          <w:color w:val="000000" w:themeColor="text1"/>
          <w:sz w:val="24"/>
          <w:szCs w:val="24"/>
        </w:rPr>
        <w:t xml:space="preserve">While taking note that </w:t>
      </w:r>
      <w:r w:rsidR="0015237B">
        <w:rPr>
          <w:color w:val="000000" w:themeColor="text1"/>
          <w:sz w:val="24"/>
          <w:szCs w:val="24"/>
        </w:rPr>
        <w:t>t</w:t>
      </w:r>
      <w:r w:rsidR="00024254">
        <w:rPr>
          <w:color w:val="000000" w:themeColor="text1"/>
          <w:sz w:val="24"/>
          <w:szCs w:val="24"/>
        </w:rPr>
        <w:t xml:space="preserve">he 2018 Conference </w:t>
      </w:r>
      <w:r w:rsidR="00E602B5">
        <w:rPr>
          <w:color w:val="000000" w:themeColor="text1"/>
          <w:sz w:val="24"/>
          <w:szCs w:val="24"/>
        </w:rPr>
        <w:t xml:space="preserve">changed </w:t>
      </w:r>
      <w:r w:rsidR="00024254">
        <w:rPr>
          <w:color w:val="000000" w:themeColor="text1"/>
          <w:sz w:val="24"/>
          <w:szCs w:val="24"/>
        </w:rPr>
        <w:t xml:space="preserve">the current </w:t>
      </w:r>
      <w:r w:rsidR="00D459CC">
        <w:rPr>
          <w:color w:val="000000" w:themeColor="text1"/>
          <w:sz w:val="24"/>
          <w:szCs w:val="24"/>
        </w:rPr>
        <w:t>Task Group</w:t>
      </w:r>
      <w:r w:rsidR="00024254">
        <w:rPr>
          <w:color w:val="000000" w:themeColor="text1"/>
          <w:sz w:val="24"/>
          <w:szCs w:val="24"/>
        </w:rPr>
        <w:t xml:space="preserve">’s </w:t>
      </w:r>
      <w:r w:rsidR="0050704F">
        <w:rPr>
          <w:color w:val="000000" w:themeColor="text1"/>
          <w:sz w:val="24"/>
          <w:szCs w:val="24"/>
        </w:rPr>
        <w:t xml:space="preserve">mandate </w:t>
      </w:r>
      <w:r w:rsidR="000E07E5" w:rsidRPr="000E07E5">
        <w:rPr>
          <w:color w:val="000000" w:themeColor="text1"/>
          <w:sz w:val="24"/>
          <w:szCs w:val="24"/>
        </w:rPr>
        <w:t xml:space="preserve">from bringing an updated Statement to bringing a report with recommendations for changes </w:t>
      </w:r>
      <w:r w:rsidR="008A22DC">
        <w:rPr>
          <w:color w:val="000000" w:themeColor="text1"/>
          <w:sz w:val="24"/>
          <w:szCs w:val="24"/>
        </w:rPr>
        <w:t>in policy</w:t>
      </w:r>
      <w:r w:rsidR="0015237B">
        <w:rPr>
          <w:color w:val="000000" w:themeColor="text1"/>
          <w:sz w:val="24"/>
          <w:szCs w:val="24"/>
        </w:rPr>
        <w:t xml:space="preserve">, the </w:t>
      </w:r>
      <w:r w:rsidR="005D0C82">
        <w:rPr>
          <w:color w:val="000000" w:themeColor="text1"/>
          <w:sz w:val="24"/>
          <w:szCs w:val="24"/>
        </w:rPr>
        <w:t xml:space="preserve">2019 report seeks to </w:t>
      </w:r>
      <w:r w:rsidR="00A20A2C">
        <w:rPr>
          <w:color w:val="000000" w:themeColor="text1"/>
          <w:sz w:val="24"/>
          <w:szCs w:val="24"/>
        </w:rPr>
        <w:t xml:space="preserve">address the concerns identified in 2016 </w:t>
      </w:r>
      <w:r w:rsidR="005D0C82">
        <w:rPr>
          <w:color w:val="000000" w:themeColor="text1"/>
          <w:sz w:val="24"/>
          <w:szCs w:val="24"/>
        </w:rPr>
        <w:t xml:space="preserve">by recommending </w:t>
      </w:r>
      <w:r w:rsidR="000E07E5" w:rsidRPr="000E07E5">
        <w:rPr>
          <w:color w:val="000000" w:themeColor="text1"/>
          <w:sz w:val="24"/>
          <w:szCs w:val="24"/>
        </w:rPr>
        <w:t xml:space="preserve">that </w:t>
      </w:r>
      <w:r w:rsidR="00E0710A">
        <w:rPr>
          <w:color w:val="000000" w:themeColor="text1"/>
          <w:sz w:val="24"/>
          <w:szCs w:val="24"/>
        </w:rPr>
        <w:t>the</w:t>
      </w:r>
      <w:r w:rsidR="00C01236">
        <w:rPr>
          <w:color w:val="000000" w:themeColor="text1"/>
          <w:sz w:val="24"/>
          <w:szCs w:val="24"/>
        </w:rPr>
        <w:t xml:space="preserve">y be included in </w:t>
      </w:r>
      <w:r w:rsidR="006202BD">
        <w:rPr>
          <w:color w:val="000000" w:themeColor="text1"/>
          <w:sz w:val="24"/>
          <w:szCs w:val="24"/>
        </w:rPr>
        <w:t>fresh</w:t>
      </w:r>
      <w:r w:rsidR="0066721C">
        <w:rPr>
          <w:color w:val="000000" w:themeColor="text1"/>
          <w:sz w:val="24"/>
          <w:szCs w:val="24"/>
        </w:rPr>
        <w:t xml:space="preserve"> </w:t>
      </w:r>
      <w:r w:rsidR="000E07E5" w:rsidRPr="000E07E5">
        <w:rPr>
          <w:color w:val="000000" w:themeColor="text1"/>
          <w:sz w:val="24"/>
          <w:szCs w:val="24"/>
        </w:rPr>
        <w:t xml:space="preserve">work </w:t>
      </w:r>
      <w:r w:rsidR="0066721C">
        <w:rPr>
          <w:color w:val="000000" w:themeColor="text1"/>
          <w:sz w:val="24"/>
          <w:szCs w:val="24"/>
        </w:rPr>
        <w:t xml:space="preserve">to produce </w:t>
      </w:r>
      <w:r w:rsidR="000E07E5" w:rsidRPr="000E07E5">
        <w:rPr>
          <w:color w:val="000000" w:themeColor="text1"/>
          <w:sz w:val="24"/>
          <w:szCs w:val="24"/>
        </w:rPr>
        <w:t>resources to support parenting.</w:t>
      </w:r>
      <w:r w:rsidR="006202BD">
        <w:rPr>
          <w:rStyle w:val="FootnoteReference"/>
          <w:color w:val="000000" w:themeColor="text1"/>
          <w:sz w:val="24"/>
          <w:szCs w:val="24"/>
        </w:rPr>
        <w:footnoteReference w:id="23"/>
      </w:r>
    </w:p>
    <w:p w14:paraId="52177607" w14:textId="60D37CAF" w:rsidR="004B54C6" w:rsidRDefault="0066721C" w:rsidP="001419E1">
      <w:pPr>
        <w:tabs>
          <w:tab w:val="left" w:pos="567"/>
        </w:tabs>
        <w:ind w:left="567" w:right="-22" w:hanging="567"/>
        <w:rPr>
          <w:color w:val="000000" w:themeColor="text1"/>
          <w:sz w:val="24"/>
          <w:szCs w:val="24"/>
        </w:rPr>
      </w:pPr>
      <w:r>
        <w:rPr>
          <w:color w:val="000000" w:themeColor="text1"/>
          <w:sz w:val="24"/>
          <w:szCs w:val="24"/>
        </w:rPr>
        <w:t>D1</w:t>
      </w:r>
      <w:r w:rsidR="0040737D">
        <w:rPr>
          <w:color w:val="000000" w:themeColor="text1"/>
          <w:sz w:val="24"/>
          <w:szCs w:val="24"/>
        </w:rPr>
        <w:t>5</w:t>
      </w:r>
      <w:r>
        <w:rPr>
          <w:color w:val="000000" w:themeColor="text1"/>
          <w:sz w:val="24"/>
          <w:szCs w:val="24"/>
        </w:rPr>
        <w:tab/>
      </w:r>
      <w:r w:rsidR="000E07E5" w:rsidRPr="000E07E5">
        <w:rPr>
          <w:color w:val="000000" w:themeColor="text1"/>
          <w:sz w:val="24"/>
          <w:szCs w:val="24"/>
        </w:rPr>
        <w:t xml:space="preserve">The 2016 </w:t>
      </w:r>
      <w:r w:rsidR="00D459CC">
        <w:rPr>
          <w:color w:val="000000" w:themeColor="text1"/>
          <w:sz w:val="24"/>
          <w:szCs w:val="24"/>
        </w:rPr>
        <w:t>Task Group</w:t>
      </w:r>
      <w:r w:rsidR="000E07E5" w:rsidRPr="000E07E5">
        <w:rPr>
          <w:color w:val="000000" w:themeColor="text1"/>
          <w:sz w:val="24"/>
          <w:szCs w:val="24"/>
        </w:rPr>
        <w:t xml:space="preserve"> w</w:t>
      </w:r>
      <w:r w:rsidR="00CA1444">
        <w:rPr>
          <w:color w:val="000000" w:themeColor="text1"/>
          <w:sz w:val="24"/>
          <w:szCs w:val="24"/>
        </w:rPr>
        <w:t>as</w:t>
      </w:r>
      <w:r w:rsidR="000E07E5" w:rsidRPr="000E07E5">
        <w:rPr>
          <w:color w:val="000000" w:themeColor="text1"/>
          <w:sz w:val="24"/>
          <w:szCs w:val="24"/>
        </w:rPr>
        <w:t xml:space="preserve"> asked to consider several other issues</w:t>
      </w:r>
      <w:r w:rsidR="00441A06">
        <w:rPr>
          <w:color w:val="000000" w:themeColor="text1"/>
          <w:sz w:val="24"/>
          <w:szCs w:val="24"/>
        </w:rPr>
        <w:t>,</w:t>
      </w:r>
      <w:r w:rsidR="000E07E5" w:rsidRPr="000E07E5">
        <w:rPr>
          <w:color w:val="000000" w:themeColor="text1"/>
          <w:sz w:val="24"/>
          <w:szCs w:val="24"/>
        </w:rPr>
        <w:t xml:space="preserve"> namely: abusive relationships; the lower status of women and girls; pornography and the sexualisation of young people; and female genital mutilation (FGM</w:t>
      </w:r>
      <w:r w:rsidR="006202BD">
        <w:rPr>
          <w:color w:val="000000" w:themeColor="text1"/>
          <w:sz w:val="24"/>
          <w:szCs w:val="24"/>
        </w:rPr>
        <w:t>)</w:t>
      </w:r>
      <w:r w:rsidR="004B54C6">
        <w:rPr>
          <w:color w:val="000000" w:themeColor="text1"/>
          <w:sz w:val="24"/>
          <w:szCs w:val="24"/>
        </w:rPr>
        <w:t>.</w:t>
      </w:r>
      <w:r w:rsidR="006D26FA">
        <w:rPr>
          <w:rStyle w:val="FootnoteReference"/>
          <w:color w:val="000000" w:themeColor="text1"/>
          <w:sz w:val="24"/>
          <w:szCs w:val="24"/>
        </w:rPr>
        <w:footnoteReference w:id="24"/>
      </w:r>
      <w:r w:rsidR="000E07E5" w:rsidRPr="000E07E5">
        <w:rPr>
          <w:color w:val="000000" w:themeColor="text1"/>
          <w:sz w:val="24"/>
          <w:szCs w:val="24"/>
        </w:rPr>
        <w:t xml:space="preserve"> </w:t>
      </w:r>
      <w:r w:rsidR="008C3415">
        <w:rPr>
          <w:color w:val="000000" w:themeColor="text1"/>
          <w:sz w:val="24"/>
          <w:szCs w:val="24"/>
        </w:rPr>
        <w:t>It</w:t>
      </w:r>
      <w:r w:rsidR="000E07E5" w:rsidRPr="000E07E5">
        <w:rPr>
          <w:color w:val="000000" w:themeColor="text1"/>
          <w:sz w:val="24"/>
          <w:szCs w:val="24"/>
        </w:rPr>
        <w:t xml:space="preserve"> concluded that these would benefit from being included in an updated </w:t>
      </w:r>
      <w:r w:rsidR="004B54C6">
        <w:rPr>
          <w:color w:val="000000" w:themeColor="text1"/>
          <w:sz w:val="24"/>
          <w:szCs w:val="24"/>
        </w:rPr>
        <w:t xml:space="preserve">formal </w:t>
      </w:r>
      <w:r w:rsidR="000E07E5" w:rsidRPr="000E07E5">
        <w:rPr>
          <w:color w:val="000000" w:themeColor="text1"/>
          <w:sz w:val="24"/>
          <w:szCs w:val="24"/>
        </w:rPr>
        <w:t xml:space="preserve">Statement </w:t>
      </w:r>
      <w:r w:rsidR="004B54C6">
        <w:rPr>
          <w:color w:val="000000" w:themeColor="text1"/>
          <w:sz w:val="24"/>
          <w:szCs w:val="24"/>
        </w:rPr>
        <w:t xml:space="preserve">on Marriage and Relationships </w:t>
      </w:r>
      <w:r w:rsidR="000E07E5" w:rsidRPr="000E07E5">
        <w:rPr>
          <w:color w:val="000000" w:themeColor="text1"/>
          <w:sz w:val="24"/>
          <w:szCs w:val="24"/>
        </w:rPr>
        <w:t xml:space="preserve">or </w:t>
      </w:r>
      <w:r w:rsidR="001E22B6">
        <w:rPr>
          <w:color w:val="000000" w:themeColor="text1"/>
          <w:sz w:val="24"/>
          <w:szCs w:val="24"/>
        </w:rPr>
        <w:t xml:space="preserve">in any </w:t>
      </w:r>
      <w:r w:rsidR="000E07E5" w:rsidRPr="000E07E5">
        <w:rPr>
          <w:color w:val="000000" w:themeColor="text1"/>
          <w:sz w:val="24"/>
          <w:szCs w:val="24"/>
        </w:rPr>
        <w:t>pastoral and policy guidance for the 1992 Statement</w:t>
      </w:r>
      <w:r w:rsidR="001E22B6">
        <w:rPr>
          <w:color w:val="000000" w:themeColor="text1"/>
          <w:sz w:val="24"/>
          <w:szCs w:val="24"/>
        </w:rPr>
        <w:t xml:space="preserve"> that might be produced</w:t>
      </w:r>
      <w:r w:rsidR="000E07E5" w:rsidRPr="000E07E5">
        <w:rPr>
          <w:color w:val="000000" w:themeColor="text1"/>
          <w:sz w:val="24"/>
          <w:szCs w:val="24"/>
        </w:rPr>
        <w:t xml:space="preserve">. </w:t>
      </w:r>
      <w:r w:rsidR="00537B10">
        <w:rPr>
          <w:color w:val="000000" w:themeColor="text1"/>
          <w:sz w:val="24"/>
          <w:szCs w:val="24"/>
        </w:rPr>
        <w:t>With regard to FGM, it provided a reference to the Home Offi</w:t>
      </w:r>
      <w:r w:rsidR="00A423A3">
        <w:rPr>
          <w:color w:val="000000" w:themeColor="text1"/>
          <w:sz w:val="24"/>
          <w:szCs w:val="24"/>
        </w:rPr>
        <w:t>c</w:t>
      </w:r>
      <w:r w:rsidR="00537B10">
        <w:rPr>
          <w:color w:val="000000" w:themeColor="text1"/>
          <w:sz w:val="24"/>
          <w:szCs w:val="24"/>
        </w:rPr>
        <w:t>e Sel</w:t>
      </w:r>
      <w:r w:rsidR="00A423A3">
        <w:rPr>
          <w:color w:val="000000" w:themeColor="text1"/>
          <w:sz w:val="24"/>
          <w:szCs w:val="24"/>
        </w:rPr>
        <w:t>e</w:t>
      </w:r>
      <w:r w:rsidR="00537B10">
        <w:rPr>
          <w:color w:val="000000" w:themeColor="text1"/>
          <w:sz w:val="24"/>
          <w:szCs w:val="24"/>
        </w:rPr>
        <w:t xml:space="preserve">ct Committee Report on the topic. </w:t>
      </w:r>
      <w:r w:rsidR="00A423A3">
        <w:rPr>
          <w:color w:val="000000" w:themeColor="text1"/>
          <w:sz w:val="24"/>
          <w:szCs w:val="24"/>
        </w:rPr>
        <w:t>With regard to pornography, i</w:t>
      </w:r>
      <w:r w:rsidR="008C3415">
        <w:rPr>
          <w:color w:val="000000" w:themeColor="text1"/>
          <w:sz w:val="24"/>
          <w:szCs w:val="24"/>
        </w:rPr>
        <w:t xml:space="preserve">t noted that the Working Group on Pornography had felt that “… </w:t>
      </w:r>
      <w:r w:rsidR="00A423A3">
        <w:rPr>
          <w:color w:val="000000" w:themeColor="text1"/>
          <w:sz w:val="24"/>
          <w:szCs w:val="24"/>
        </w:rPr>
        <w:t xml:space="preserve">this </w:t>
      </w:r>
      <w:r w:rsidR="008C3415" w:rsidRPr="004B54C6">
        <w:rPr>
          <w:iCs/>
          <w:color w:val="000000" w:themeColor="text1"/>
          <w:sz w:val="24"/>
          <w:szCs w:val="24"/>
        </w:rPr>
        <w:t>was an extremely complex issue and could not be looked at in isolation but needed to be considered within the context of healthy sexual relationships, sex and relationships education and body confidence</w:t>
      </w:r>
      <w:r w:rsidR="008C3415">
        <w:rPr>
          <w:iCs/>
          <w:color w:val="000000" w:themeColor="text1"/>
          <w:sz w:val="24"/>
          <w:szCs w:val="24"/>
        </w:rPr>
        <w:t>”</w:t>
      </w:r>
      <w:r w:rsidR="00756DD9">
        <w:rPr>
          <w:iCs/>
          <w:color w:val="000000" w:themeColor="text1"/>
          <w:sz w:val="24"/>
          <w:szCs w:val="24"/>
        </w:rPr>
        <w:t xml:space="preserve">; and had asked </w:t>
      </w:r>
      <w:r w:rsidR="008C3415" w:rsidRPr="008C3415">
        <w:rPr>
          <w:iCs/>
          <w:color w:val="000000" w:themeColor="text1"/>
          <w:sz w:val="24"/>
          <w:szCs w:val="24"/>
        </w:rPr>
        <w:t xml:space="preserve"> </w:t>
      </w:r>
      <w:r w:rsidR="00756DD9">
        <w:rPr>
          <w:iCs/>
          <w:color w:val="000000" w:themeColor="text1"/>
          <w:sz w:val="24"/>
          <w:szCs w:val="24"/>
        </w:rPr>
        <w:t>“</w:t>
      </w:r>
      <w:r w:rsidR="00756DD9" w:rsidRPr="004B54C6">
        <w:rPr>
          <w:iCs/>
          <w:color w:val="000000" w:themeColor="text1"/>
          <w:sz w:val="24"/>
          <w:szCs w:val="24"/>
        </w:rPr>
        <w:t>Does the Church have a role in helping people to learn about healthy sexual relationships? If so, how effectively does it do this?</w:t>
      </w:r>
      <w:r w:rsidR="00756DD9">
        <w:rPr>
          <w:iCs/>
          <w:color w:val="000000" w:themeColor="text1"/>
          <w:sz w:val="24"/>
          <w:szCs w:val="24"/>
        </w:rPr>
        <w:t xml:space="preserve">”. </w:t>
      </w:r>
      <w:r w:rsidR="00537B10">
        <w:rPr>
          <w:iCs/>
          <w:color w:val="000000" w:themeColor="text1"/>
          <w:sz w:val="24"/>
          <w:szCs w:val="24"/>
        </w:rPr>
        <w:t xml:space="preserve">In Section 2 of its 2019 Report, the current </w:t>
      </w:r>
      <w:r w:rsidR="00821AE2">
        <w:rPr>
          <w:iCs/>
          <w:color w:val="000000" w:themeColor="text1"/>
          <w:sz w:val="24"/>
          <w:szCs w:val="24"/>
        </w:rPr>
        <w:t xml:space="preserve">Task Group has offered </w:t>
      </w:r>
      <w:r w:rsidR="00537B10">
        <w:rPr>
          <w:iCs/>
          <w:color w:val="000000" w:themeColor="text1"/>
          <w:sz w:val="24"/>
          <w:szCs w:val="24"/>
        </w:rPr>
        <w:t xml:space="preserve">reflections on what constitutes ‘good relationships’, including healthy sexual relationships. </w:t>
      </w:r>
      <w:r w:rsidR="00A423A3">
        <w:rPr>
          <w:iCs/>
          <w:color w:val="000000" w:themeColor="text1"/>
          <w:sz w:val="24"/>
          <w:szCs w:val="24"/>
        </w:rPr>
        <w:t xml:space="preserve">It has also welcomed the Equality, Diversity and Inclusion (EDI) Toolkit, which </w:t>
      </w:r>
      <w:r w:rsidR="00E52737">
        <w:rPr>
          <w:iCs/>
          <w:color w:val="000000" w:themeColor="text1"/>
          <w:sz w:val="24"/>
          <w:szCs w:val="24"/>
        </w:rPr>
        <w:t xml:space="preserve">provides helpful material with regard to </w:t>
      </w:r>
      <w:r w:rsidR="00A423A3">
        <w:rPr>
          <w:iCs/>
          <w:color w:val="000000" w:themeColor="text1"/>
          <w:sz w:val="24"/>
          <w:szCs w:val="24"/>
        </w:rPr>
        <w:t xml:space="preserve">many </w:t>
      </w:r>
      <w:r w:rsidR="00E52737">
        <w:rPr>
          <w:iCs/>
          <w:color w:val="000000" w:themeColor="text1"/>
          <w:sz w:val="24"/>
          <w:szCs w:val="24"/>
        </w:rPr>
        <w:t xml:space="preserve">of the </w:t>
      </w:r>
      <w:r w:rsidR="00A423A3">
        <w:rPr>
          <w:iCs/>
          <w:color w:val="000000" w:themeColor="text1"/>
          <w:sz w:val="24"/>
          <w:szCs w:val="24"/>
        </w:rPr>
        <w:t xml:space="preserve">issues </w:t>
      </w:r>
      <w:r w:rsidR="00E52737">
        <w:rPr>
          <w:iCs/>
          <w:color w:val="000000" w:themeColor="text1"/>
          <w:sz w:val="24"/>
          <w:szCs w:val="24"/>
        </w:rPr>
        <w:t xml:space="preserve">identified in this paragraph, </w:t>
      </w:r>
      <w:r w:rsidR="00A423A3">
        <w:rPr>
          <w:iCs/>
          <w:color w:val="000000" w:themeColor="text1"/>
          <w:sz w:val="24"/>
          <w:szCs w:val="24"/>
        </w:rPr>
        <w:t xml:space="preserve">including gender equality.  </w:t>
      </w:r>
      <w:r w:rsidR="00E52737">
        <w:rPr>
          <w:iCs/>
          <w:color w:val="000000" w:themeColor="text1"/>
          <w:sz w:val="24"/>
          <w:szCs w:val="24"/>
        </w:rPr>
        <w:t xml:space="preserve">In </w:t>
      </w:r>
      <w:r w:rsidR="001C18F4">
        <w:rPr>
          <w:iCs/>
          <w:color w:val="000000" w:themeColor="text1"/>
          <w:sz w:val="24"/>
          <w:szCs w:val="24"/>
        </w:rPr>
        <w:t>recommending that further resources be</w:t>
      </w:r>
      <w:r w:rsidR="00E52737">
        <w:rPr>
          <w:iCs/>
          <w:color w:val="000000" w:themeColor="text1"/>
          <w:sz w:val="24"/>
          <w:szCs w:val="24"/>
        </w:rPr>
        <w:t xml:space="preserve"> produced to support marriage and relationships, it hopes that </w:t>
      </w:r>
      <w:r w:rsidR="00E52737" w:rsidRPr="00E52737">
        <w:rPr>
          <w:iCs/>
          <w:color w:val="000000" w:themeColor="text1"/>
          <w:sz w:val="24"/>
          <w:szCs w:val="24"/>
        </w:rPr>
        <w:t>all th</w:t>
      </w:r>
      <w:r w:rsidR="008A0624">
        <w:rPr>
          <w:iCs/>
          <w:color w:val="000000" w:themeColor="text1"/>
          <w:sz w:val="24"/>
          <w:szCs w:val="24"/>
        </w:rPr>
        <w:t>ose</w:t>
      </w:r>
      <w:r w:rsidR="00E52737" w:rsidRPr="00E52737">
        <w:rPr>
          <w:iCs/>
          <w:color w:val="000000" w:themeColor="text1"/>
          <w:sz w:val="24"/>
          <w:szCs w:val="24"/>
        </w:rPr>
        <w:t xml:space="preserve"> </w:t>
      </w:r>
      <w:r w:rsidR="008A0624">
        <w:rPr>
          <w:iCs/>
          <w:color w:val="000000" w:themeColor="text1"/>
          <w:sz w:val="24"/>
          <w:szCs w:val="24"/>
        </w:rPr>
        <w:t xml:space="preserve">mentioned above </w:t>
      </w:r>
      <w:r w:rsidR="00E52737" w:rsidRPr="00E52737">
        <w:rPr>
          <w:iCs/>
          <w:color w:val="000000" w:themeColor="text1"/>
          <w:sz w:val="24"/>
          <w:szCs w:val="24"/>
        </w:rPr>
        <w:t>will be drawn on and supplemented as necessary</w:t>
      </w:r>
      <w:r w:rsidR="008A0624">
        <w:rPr>
          <w:iCs/>
          <w:color w:val="000000" w:themeColor="text1"/>
          <w:sz w:val="24"/>
          <w:szCs w:val="24"/>
        </w:rPr>
        <w:t xml:space="preserve">. </w:t>
      </w:r>
      <w:r w:rsidR="00E52737" w:rsidRPr="00E52737">
        <w:rPr>
          <w:iCs/>
          <w:color w:val="000000" w:themeColor="text1"/>
          <w:sz w:val="24"/>
          <w:szCs w:val="24"/>
        </w:rPr>
        <w:t xml:space="preserve"> </w:t>
      </w:r>
    </w:p>
    <w:p w14:paraId="2B023768" w14:textId="195CDE58" w:rsidR="000E07E5" w:rsidRPr="000E07E5" w:rsidRDefault="00510627" w:rsidP="001419E1">
      <w:pPr>
        <w:tabs>
          <w:tab w:val="left" w:pos="567"/>
        </w:tabs>
        <w:ind w:left="567" w:right="-22" w:hanging="567"/>
        <w:rPr>
          <w:color w:val="000000" w:themeColor="text1"/>
          <w:sz w:val="24"/>
          <w:szCs w:val="24"/>
        </w:rPr>
      </w:pPr>
      <w:r>
        <w:rPr>
          <w:color w:val="000000" w:themeColor="text1"/>
          <w:sz w:val="24"/>
          <w:szCs w:val="24"/>
        </w:rPr>
        <w:t>D1</w:t>
      </w:r>
      <w:r w:rsidR="0040737D">
        <w:rPr>
          <w:color w:val="000000" w:themeColor="text1"/>
          <w:sz w:val="24"/>
          <w:szCs w:val="24"/>
        </w:rPr>
        <w:t>6</w:t>
      </w:r>
      <w:r>
        <w:rPr>
          <w:color w:val="000000" w:themeColor="text1"/>
          <w:sz w:val="24"/>
          <w:szCs w:val="24"/>
        </w:rPr>
        <w:tab/>
      </w:r>
      <w:r w:rsidR="000E07E5" w:rsidRPr="000E07E5">
        <w:rPr>
          <w:color w:val="000000" w:themeColor="text1"/>
          <w:sz w:val="24"/>
          <w:szCs w:val="24"/>
        </w:rPr>
        <w:t>The 2016 report summari</w:t>
      </w:r>
      <w:r>
        <w:rPr>
          <w:color w:val="000000" w:themeColor="text1"/>
          <w:sz w:val="24"/>
          <w:szCs w:val="24"/>
        </w:rPr>
        <w:t>s</w:t>
      </w:r>
      <w:r w:rsidR="000E07E5" w:rsidRPr="000E07E5">
        <w:rPr>
          <w:color w:val="000000" w:themeColor="text1"/>
          <w:sz w:val="24"/>
          <w:szCs w:val="24"/>
        </w:rPr>
        <w:t xml:space="preserve">ed and provided </w:t>
      </w:r>
      <w:r w:rsidR="005E645A">
        <w:rPr>
          <w:color w:val="000000" w:themeColor="text1"/>
          <w:sz w:val="24"/>
          <w:szCs w:val="24"/>
        </w:rPr>
        <w:t xml:space="preserve">details </w:t>
      </w:r>
      <w:r w:rsidR="000E07E5" w:rsidRPr="000E07E5">
        <w:rPr>
          <w:color w:val="000000" w:themeColor="text1"/>
          <w:sz w:val="24"/>
          <w:szCs w:val="24"/>
        </w:rPr>
        <w:t>in an appendix of the conversation</w:t>
      </w:r>
      <w:r w:rsidR="006202BD">
        <w:rPr>
          <w:color w:val="000000" w:themeColor="text1"/>
          <w:sz w:val="24"/>
          <w:szCs w:val="24"/>
        </w:rPr>
        <w:t>s</w:t>
      </w:r>
      <w:r w:rsidR="000E07E5" w:rsidRPr="000E07E5">
        <w:rPr>
          <w:color w:val="000000" w:themeColor="text1"/>
          <w:sz w:val="24"/>
          <w:szCs w:val="24"/>
        </w:rPr>
        <w:t xml:space="preserve"> about marriage and relationships which had happened across the Connexion.  The current </w:t>
      </w:r>
      <w:r w:rsidR="00D459CC">
        <w:rPr>
          <w:color w:val="000000" w:themeColor="text1"/>
          <w:sz w:val="24"/>
          <w:szCs w:val="24"/>
        </w:rPr>
        <w:t>Task Group</w:t>
      </w:r>
      <w:r w:rsidR="000E07E5" w:rsidRPr="000E07E5">
        <w:rPr>
          <w:color w:val="000000" w:themeColor="text1"/>
          <w:sz w:val="24"/>
          <w:szCs w:val="24"/>
        </w:rPr>
        <w:t xml:space="preserve"> has taken note of this information and the request for the </w:t>
      </w:r>
      <w:r w:rsidR="005A5CEE">
        <w:rPr>
          <w:color w:val="000000" w:themeColor="text1"/>
          <w:sz w:val="24"/>
          <w:szCs w:val="24"/>
        </w:rPr>
        <w:t>C</w:t>
      </w:r>
      <w:r w:rsidR="000E07E5" w:rsidRPr="000E07E5">
        <w:rPr>
          <w:color w:val="000000" w:themeColor="text1"/>
          <w:sz w:val="24"/>
          <w:szCs w:val="24"/>
        </w:rPr>
        <w:t>hurch to facilitate conversations about these matters (3.3.5).</w:t>
      </w:r>
      <w:r w:rsidR="005E645A">
        <w:rPr>
          <w:rStyle w:val="FootnoteReference"/>
          <w:color w:val="000000" w:themeColor="text1"/>
          <w:sz w:val="24"/>
          <w:szCs w:val="24"/>
        </w:rPr>
        <w:footnoteReference w:id="25"/>
      </w:r>
      <w:r w:rsidR="000E07E5" w:rsidRPr="000E07E5">
        <w:rPr>
          <w:color w:val="000000" w:themeColor="text1"/>
          <w:sz w:val="24"/>
          <w:szCs w:val="24"/>
        </w:rPr>
        <w:t xml:space="preserve"> Likewise</w:t>
      </w:r>
      <w:r w:rsidR="00FB4A2F">
        <w:rPr>
          <w:color w:val="000000" w:themeColor="text1"/>
          <w:sz w:val="24"/>
          <w:szCs w:val="24"/>
        </w:rPr>
        <w:t>,</w:t>
      </w:r>
      <w:r w:rsidR="000E07E5" w:rsidRPr="000E07E5">
        <w:rPr>
          <w:color w:val="000000" w:themeColor="text1"/>
          <w:sz w:val="24"/>
          <w:szCs w:val="24"/>
        </w:rPr>
        <w:t xml:space="preserve"> the current </w:t>
      </w:r>
      <w:r w:rsidR="00D459CC">
        <w:rPr>
          <w:color w:val="000000" w:themeColor="text1"/>
          <w:sz w:val="24"/>
          <w:szCs w:val="24"/>
        </w:rPr>
        <w:t>Task Group</w:t>
      </w:r>
      <w:r w:rsidR="000E07E5" w:rsidRPr="000E07E5">
        <w:rPr>
          <w:color w:val="000000" w:themeColor="text1"/>
          <w:sz w:val="24"/>
          <w:szCs w:val="24"/>
        </w:rPr>
        <w:t xml:space="preserve"> has continued to pay attention to the situation and varying priorities of our ecumenical partners and world church partners</w:t>
      </w:r>
      <w:r w:rsidR="005A5CEE">
        <w:rPr>
          <w:color w:val="000000" w:themeColor="text1"/>
          <w:sz w:val="24"/>
          <w:szCs w:val="24"/>
        </w:rPr>
        <w:t xml:space="preserve"> as the 2016 report did in section 3.4</w:t>
      </w:r>
      <w:r w:rsidR="000E07E5" w:rsidRPr="000E07E5">
        <w:rPr>
          <w:color w:val="000000" w:themeColor="text1"/>
          <w:sz w:val="24"/>
          <w:szCs w:val="24"/>
        </w:rPr>
        <w:t>.</w:t>
      </w:r>
      <w:r w:rsidR="0056249D">
        <w:rPr>
          <w:rStyle w:val="FootnoteReference"/>
          <w:color w:val="000000" w:themeColor="text1"/>
          <w:sz w:val="24"/>
          <w:szCs w:val="24"/>
        </w:rPr>
        <w:footnoteReference w:id="26"/>
      </w:r>
    </w:p>
    <w:p w14:paraId="0F146C6C" w14:textId="7FFAF534" w:rsidR="000E07E5" w:rsidRPr="000E07E5" w:rsidRDefault="0056249D" w:rsidP="001419E1">
      <w:pPr>
        <w:tabs>
          <w:tab w:val="left" w:pos="567"/>
        </w:tabs>
        <w:ind w:left="567" w:right="-22" w:hanging="567"/>
        <w:rPr>
          <w:color w:val="000000" w:themeColor="text1"/>
          <w:sz w:val="24"/>
          <w:szCs w:val="24"/>
        </w:rPr>
      </w:pPr>
      <w:r>
        <w:rPr>
          <w:color w:val="000000" w:themeColor="text1"/>
          <w:sz w:val="24"/>
          <w:szCs w:val="24"/>
        </w:rPr>
        <w:t>D1</w:t>
      </w:r>
      <w:r w:rsidR="00AD546B">
        <w:rPr>
          <w:color w:val="000000" w:themeColor="text1"/>
          <w:sz w:val="24"/>
          <w:szCs w:val="24"/>
        </w:rPr>
        <w:t>7</w:t>
      </w:r>
      <w:r>
        <w:rPr>
          <w:color w:val="000000" w:themeColor="text1"/>
          <w:sz w:val="24"/>
          <w:szCs w:val="24"/>
        </w:rPr>
        <w:tab/>
      </w:r>
      <w:r w:rsidR="000E07E5" w:rsidRPr="000E07E5">
        <w:rPr>
          <w:color w:val="000000" w:themeColor="text1"/>
          <w:sz w:val="24"/>
          <w:szCs w:val="24"/>
        </w:rPr>
        <w:t>With regard to the 1992 Statement the 2016 Report noted that at the very least “further guidance” was need</w:t>
      </w:r>
      <w:r w:rsidR="005A5CEE">
        <w:rPr>
          <w:color w:val="000000" w:themeColor="text1"/>
          <w:sz w:val="24"/>
          <w:szCs w:val="24"/>
        </w:rPr>
        <w:t>ed</w:t>
      </w:r>
      <w:r w:rsidR="000E07E5" w:rsidRPr="000E07E5">
        <w:rPr>
          <w:color w:val="000000" w:themeColor="text1"/>
          <w:sz w:val="24"/>
          <w:szCs w:val="24"/>
        </w:rPr>
        <w:t xml:space="preserve"> to take account of the other reports which have been produced and resolutions passed by the Conference since 1992.</w:t>
      </w:r>
      <w:r w:rsidR="005A1A3B">
        <w:rPr>
          <w:rStyle w:val="FootnoteReference"/>
          <w:color w:val="000000" w:themeColor="text1"/>
          <w:sz w:val="24"/>
          <w:szCs w:val="24"/>
        </w:rPr>
        <w:footnoteReference w:id="27"/>
      </w:r>
      <w:r w:rsidR="000E07E5" w:rsidRPr="000E07E5">
        <w:rPr>
          <w:color w:val="000000" w:themeColor="text1"/>
          <w:sz w:val="24"/>
          <w:szCs w:val="24"/>
        </w:rPr>
        <w:t xml:space="preserve">  The current </w:t>
      </w:r>
      <w:r w:rsidR="00D459CC">
        <w:rPr>
          <w:color w:val="000000" w:themeColor="text1"/>
          <w:sz w:val="24"/>
          <w:szCs w:val="24"/>
        </w:rPr>
        <w:t>Task Group</w:t>
      </w:r>
      <w:r w:rsidR="000E07E5" w:rsidRPr="000E07E5">
        <w:rPr>
          <w:color w:val="000000" w:themeColor="text1"/>
          <w:sz w:val="24"/>
          <w:szCs w:val="24"/>
        </w:rPr>
        <w:t xml:space="preserve"> has considered these further report</w:t>
      </w:r>
      <w:r w:rsidR="00005538">
        <w:rPr>
          <w:color w:val="000000" w:themeColor="text1"/>
          <w:sz w:val="24"/>
          <w:szCs w:val="24"/>
        </w:rPr>
        <w:t>s</w:t>
      </w:r>
      <w:r w:rsidR="000E07E5" w:rsidRPr="000E07E5">
        <w:rPr>
          <w:color w:val="000000" w:themeColor="text1"/>
          <w:sz w:val="24"/>
          <w:szCs w:val="24"/>
        </w:rPr>
        <w:t>. The 1992 Statement had not anticipated “some of the social contexts, such as civil partnerships and the marriage of same sex couples”</w:t>
      </w:r>
      <w:r w:rsidR="00D375D6">
        <w:rPr>
          <w:rStyle w:val="FootnoteReference"/>
          <w:color w:val="000000" w:themeColor="text1"/>
          <w:sz w:val="24"/>
          <w:szCs w:val="24"/>
        </w:rPr>
        <w:footnoteReference w:id="28"/>
      </w:r>
      <w:r w:rsidR="006A2F56">
        <w:rPr>
          <w:color w:val="000000" w:themeColor="text1"/>
          <w:sz w:val="24"/>
          <w:szCs w:val="24"/>
        </w:rPr>
        <w:t>. N</w:t>
      </w:r>
      <w:r w:rsidR="000E07E5" w:rsidRPr="000E07E5">
        <w:rPr>
          <w:color w:val="000000" w:themeColor="text1"/>
          <w:sz w:val="24"/>
          <w:szCs w:val="24"/>
        </w:rPr>
        <w:t>or had the Statement given a theological basis for the definition of marriage in SO 011A.</w:t>
      </w:r>
      <w:r w:rsidR="006A2F56">
        <w:rPr>
          <w:rStyle w:val="FootnoteReference"/>
          <w:color w:val="000000" w:themeColor="text1"/>
          <w:sz w:val="24"/>
          <w:szCs w:val="24"/>
        </w:rPr>
        <w:footnoteReference w:id="29"/>
      </w:r>
      <w:r w:rsidR="000E07E5" w:rsidRPr="000E07E5">
        <w:rPr>
          <w:color w:val="000000" w:themeColor="text1"/>
          <w:sz w:val="24"/>
          <w:szCs w:val="24"/>
        </w:rPr>
        <w:t xml:space="preserve">  These are all matters the current </w:t>
      </w:r>
      <w:r w:rsidR="00D459CC">
        <w:rPr>
          <w:color w:val="000000" w:themeColor="text1"/>
          <w:sz w:val="24"/>
          <w:szCs w:val="24"/>
        </w:rPr>
        <w:t>Task Group</w:t>
      </w:r>
      <w:r w:rsidR="000E07E5" w:rsidRPr="000E07E5">
        <w:rPr>
          <w:color w:val="000000" w:themeColor="text1"/>
          <w:sz w:val="24"/>
          <w:szCs w:val="24"/>
        </w:rPr>
        <w:t xml:space="preserve"> has reflected upon</w:t>
      </w:r>
      <w:r w:rsidR="005A5CEE">
        <w:rPr>
          <w:color w:val="000000" w:themeColor="text1"/>
          <w:sz w:val="24"/>
          <w:szCs w:val="24"/>
        </w:rPr>
        <w:t xml:space="preserve"> and commented upon in the 2019 report</w:t>
      </w:r>
      <w:r w:rsidR="000E07E5" w:rsidRPr="000E07E5">
        <w:rPr>
          <w:color w:val="000000" w:themeColor="text1"/>
          <w:sz w:val="24"/>
          <w:szCs w:val="24"/>
        </w:rPr>
        <w:t>.</w:t>
      </w:r>
    </w:p>
    <w:p w14:paraId="1D902455" w14:textId="13B535FB" w:rsidR="000E07E5" w:rsidRPr="000E07E5" w:rsidRDefault="00005538" w:rsidP="001419E1">
      <w:pPr>
        <w:tabs>
          <w:tab w:val="left" w:pos="567"/>
        </w:tabs>
        <w:ind w:left="567" w:right="-22" w:hanging="567"/>
        <w:rPr>
          <w:color w:val="000000" w:themeColor="text1"/>
          <w:sz w:val="24"/>
          <w:szCs w:val="24"/>
        </w:rPr>
      </w:pPr>
      <w:r>
        <w:rPr>
          <w:color w:val="000000" w:themeColor="text1"/>
          <w:sz w:val="24"/>
          <w:szCs w:val="24"/>
        </w:rPr>
        <w:t>D1</w:t>
      </w:r>
      <w:r w:rsidR="00AD546B">
        <w:rPr>
          <w:color w:val="000000" w:themeColor="text1"/>
          <w:sz w:val="24"/>
          <w:szCs w:val="24"/>
        </w:rPr>
        <w:t>8</w:t>
      </w:r>
      <w:r>
        <w:rPr>
          <w:color w:val="000000" w:themeColor="text1"/>
          <w:sz w:val="24"/>
          <w:szCs w:val="24"/>
        </w:rPr>
        <w:tab/>
      </w:r>
      <w:r w:rsidR="000E07E5" w:rsidRPr="000E07E5">
        <w:rPr>
          <w:color w:val="000000" w:themeColor="text1"/>
          <w:sz w:val="24"/>
          <w:szCs w:val="24"/>
        </w:rPr>
        <w:t xml:space="preserve">With regard to what the 2016 report described as the “definition of marriage” the current </w:t>
      </w:r>
      <w:r w:rsidR="00D459CC">
        <w:rPr>
          <w:color w:val="000000" w:themeColor="text1"/>
          <w:sz w:val="24"/>
          <w:szCs w:val="24"/>
        </w:rPr>
        <w:t>Task Group</w:t>
      </w:r>
      <w:r w:rsidR="000E07E5" w:rsidRPr="000E07E5">
        <w:rPr>
          <w:color w:val="000000" w:themeColor="text1"/>
          <w:sz w:val="24"/>
          <w:szCs w:val="24"/>
        </w:rPr>
        <w:t xml:space="preserve"> has reflected upon the theology of marriage and suggests the church has one description of marriage without “reference to gender”</w:t>
      </w:r>
      <w:r w:rsidR="005A5CEE">
        <w:rPr>
          <w:color w:val="000000" w:themeColor="text1"/>
          <w:sz w:val="24"/>
          <w:szCs w:val="24"/>
        </w:rPr>
        <w:t xml:space="preserve"> which was one of the options mentioned by the 2016 report</w:t>
      </w:r>
      <w:r w:rsidR="000E07E5" w:rsidRPr="000E07E5">
        <w:rPr>
          <w:color w:val="000000" w:themeColor="text1"/>
          <w:sz w:val="24"/>
          <w:szCs w:val="24"/>
        </w:rPr>
        <w:t>.</w:t>
      </w:r>
      <w:r w:rsidR="001A1115">
        <w:rPr>
          <w:rStyle w:val="FootnoteReference"/>
          <w:color w:val="000000" w:themeColor="text1"/>
          <w:sz w:val="24"/>
          <w:szCs w:val="24"/>
        </w:rPr>
        <w:footnoteReference w:id="30"/>
      </w:r>
    </w:p>
    <w:p w14:paraId="3DCE9417" w14:textId="29E4A06C" w:rsidR="000E07E5" w:rsidRPr="000E07E5" w:rsidRDefault="00146FCF" w:rsidP="001419E1">
      <w:pPr>
        <w:tabs>
          <w:tab w:val="left" w:pos="567"/>
        </w:tabs>
        <w:ind w:left="567" w:right="-22" w:hanging="567"/>
        <w:rPr>
          <w:color w:val="000000" w:themeColor="text1"/>
          <w:sz w:val="24"/>
          <w:szCs w:val="24"/>
        </w:rPr>
      </w:pPr>
      <w:r>
        <w:rPr>
          <w:color w:val="000000" w:themeColor="text1"/>
          <w:sz w:val="24"/>
          <w:szCs w:val="24"/>
        </w:rPr>
        <w:t>D</w:t>
      </w:r>
      <w:r w:rsidR="00AD546B">
        <w:rPr>
          <w:color w:val="000000" w:themeColor="text1"/>
          <w:sz w:val="24"/>
          <w:szCs w:val="24"/>
        </w:rPr>
        <w:t>19</w:t>
      </w:r>
      <w:r>
        <w:rPr>
          <w:color w:val="000000" w:themeColor="text1"/>
          <w:sz w:val="24"/>
          <w:szCs w:val="24"/>
        </w:rPr>
        <w:tab/>
      </w:r>
      <w:r w:rsidR="000E07E5" w:rsidRPr="000E07E5">
        <w:rPr>
          <w:color w:val="000000" w:themeColor="text1"/>
          <w:sz w:val="24"/>
          <w:szCs w:val="24"/>
        </w:rPr>
        <w:t xml:space="preserve">The previous </w:t>
      </w:r>
      <w:r w:rsidR="00D459CC">
        <w:rPr>
          <w:color w:val="000000" w:themeColor="text1"/>
          <w:sz w:val="24"/>
          <w:szCs w:val="24"/>
        </w:rPr>
        <w:t>Task Group</w:t>
      </w:r>
      <w:r w:rsidR="000E07E5" w:rsidRPr="000E07E5">
        <w:rPr>
          <w:color w:val="000000" w:themeColor="text1"/>
          <w:sz w:val="24"/>
          <w:szCs w:val="24"/>
        </w:rPr>
        <w:t xml:space="preserve"> considered the phrase that ‘it is God’s intention that marriage is a life-long union in body, mind and spirit of one man and one woman’ and concluded that “People seeking marriage should do so with the intention of it being a life-long union, albeit with the recognition that previous marriages may have ended”.</w:t>
      </w:r>
      <w:r w:rsidR="006E68BB">
        <w:rPr>
          <w:rStyle w:val="FootnoteReference"/>
          <w:color w:val="000000" w:themeColor="text1"/>
          <w:sz w:val="24"/>
          <w:szCs w:val="24"/>
        </w:rPr>
        <w:footnoteReference w:id="31"/>
      </w:r>
      <w:r w:rsidR="000E07E5" w:rsidRPr="000E07E5">
        <w:rPr>
          <w:color w:val="000000" w:themeColor="text1"/>
          <w:sz w:val="24"/>
          <w:szCs w:val="24"/>
        </w:rPr>
        <w:t xml:space="preserve"> At the same time the 2016 report noted that there were situations where ending a marriage is necessary</w:t>
      </w:r>
      <w:r w:rsidR="00DE3B80">
        <w:rPr>
          <w:color w:val="000000" w:themeColor="text1"/>
          <w:sz w:val="24"/>
          <w:szCs w:val="24"/>
        </w:rPr>
        <w:t>,</w:t>
      </w:r>
      <w:r w:rsidR="000E07E5" w:rsidRPr="000E07E5">
        <w:rPr>
          <w:color w:val="000000" w:themeColor="text1"/>
          <w:sz w:val="24"/>
          <w:szCs w:val="24"/>
        </w:rPr>
        <w:t xml:space="preserve"> and that “the opportunity for new beginnings is core to the Gospel”.</w:t>
      </w:r>
      <w:r w:rsidR="00E813CF">
        <w:rPr>
          <w:rStyle w:val="FootnoteReference"/>
          <w:color w:val="000000" w:themeColor="text1"/>
          <w:sz w:val="24"/>
          <w:szCs w:val="24"/>
        </w:rPr>
        <w:footnoteReference w:id="32"/>
      </w:r>
      <w:r w:rsidR="000E07E5" w:rsidRPr="000E07E5">
        <w:rPr>
          <w:color w:val="000000" w:themeColor="text1"/>
          <w:sz w:val="24"/>
          <w:szCs w:val="24"/>
        </w:rPr>
        <w:t xml:space="preserve"> The current </w:t>
      </w:r>
      <w:r w:rsidR="00D459CC">
        <w:rPr>
          <w:color w:val="000000" w:themeColor="text1"/>
          <w:sz w:val="24"/>
          <w:szCs w:val="24"/>
        </w:rPr>
        <w:t>Task Group</w:t>
      </w:r>
      <w:r w:rsidR="000E07E5" w:rsidRPr="000E07E5">
        <w:rPr>
          <w:color w:val="000000" w:themeColor="text1"/>
          <w:sz w:val="24"/>
          <w:szCs w:val="24"/>
        </w:rPr>
        <w:t xml:space="preserve"> has developed these reflections upon divorce and made a specific proposal with regard to resources the Methodist Church might offer to help</w:t>
      </w:r>
      <w:r w:rsidR="00A869D5">
        <w:rPr>
          <w:color w:val="000000" w:themeColor="text1"/>
          <w:sz w:val="24"/>
          <w:szCs w:val="24"/>
        </w:rPr>
        <w:t xml:space="preserve"> what a marriage breaks down</w:t>
      </w:r>
      <w:r w:rsidR="000E07E5" w:rsidRPr="000E07E5">
        <w:rPr>
          <w:color w:val="000000" w:themeColor="text1"/>
          <w:sz w:val="24"/>
          <w:szCs w:val="24"/>
        </w:rPr>
        <w:t>.</w:t>
      </w:r>
      <w:r w:rsidR="00A869D5">
        <w:rPr>
          <w:rStyle w:val="FootnoteReference"/>
          <w:color w:val="000000" w:themeColor="text1"/>
          <w:sz w:val="24"/>
          <w:szCs w:val="24"/>
        </w:rPr>
        <w:footnoteReference w:id="33"/>
      </w:r>
    </w:p>
    <w:p w14:paraId="39140D93" w14:textId="2C633704" w:rsidR="000E07E5" w:rsidRPr="000E07E5" w:rsidRDefault="00DE3B80" w:rsidP="001419E1">
      <w:pPr>
        <w:tabs>
          <w:tab w:val="left" w:pos="567"/>
        </w:tabs>
        <w:ind w:left="567" w:right="-22" w:hanging="567"/>
        <w:rPr>
          <w:color w:val="000000" w:themeColor="text1"/>
          <w:sz w:val="24"/>
          <w:szCs w:val="24"/>
        </w:rPr>
      </w:pPr>
      <w:r>
        <w:rPr>
          <w:color w:val="000000" w:themeColor="text1"/>
          <w:sz w:val="24"/>
          <w:szCs w:val="24"/>
        </w:rPr>
        <w:t>D2</w:t>
      </w:r>
      <w:r w:rsidR="00AD546B">
        <w:rPr>
          <w:color w:val="000000" w:themeColor="text1"/>
          <w:sz w:val="24"/>
          <w:szCs w:val="24"/>
        </w:rPr>
        <w:t>0</w:t>
      </w:r>
      <w:r>
        <w:rPr>
          <w:color w:val="000000" w:themeColor="text1"/>
          <w:sz w:val="24"/>
          <w:szCs w:val="24"/>
        </w:rPr>
        <w:tab/>
      </w:r>
      <w:r w:rsidR="000E07E5" w:rsidRPr="000E07E5">
        <w:rPr>
          <w:color w:val="000000" w:themeColor="text1"/>
          <w:sz w:val="24"/>
          <w:szCs w:val="24"/>
        </w:rPr>
        <w:t xml:space="preserve">The previous </w:t>
      </w:r>
      <w:r w:rsidR="00D459CC">
        <w:rPr>
          <w:color w:val="000000" w:themeColor="text1"/>
          <w:sz w:val="24"/>
          <w:szCs w:val="24"/>
        </w:rPr>
        <w:t>Task Group</w:t>
      </w:r>
      <w:r w:rsidR="000E07E5" w:rsidRPr="000E07E5">
        <w:rPr>
          <w:color w:val="000000" w:themeColor="text1"/>
          <w:sz w:val="24"/>
          <w:szCs w:val="24"/>
        </w:rPr>
        <w:t xml:space="preserve"> also considered whether more should be included in the definition of marriage in relation to the qualities of marriage including sexual consent, free will to marry, fidelity, mutual respect and a partnership of equals.</w:t>
      </w:r>
      <w:r>
        <w:rPr>
          <w:rStyle w:val="FootnoteReference"/>
          <w:color w:val="000000" w:themeColor="text1"/>
          <w:sz w:val="24"/>
          <w:szCs w:val="24"/>
        </w:rPr>
        <w:footnoteReference w:id="34"/>
      </w:r>
      <w:r w:rsidR="000E07E5" w:rsidRPr="000E07E5">
        <w:rPr>
          <w:color w:val="000000" w:themeColor="text1"/>
          <w:sz w:val="24"/>
          <w:szCs w:val="24"/>
        </w:rPr>
        <w:t xml:space="preserve">  The current </w:t>
      </w:r>
      <w:r w:rsidR="00D459CC">
        <w:rPr>
          <w:color w:val="000000" w:themeColor="text1"/>
          <w:sz w:val="24"/>
          <w:szCs w:val="24"/>
        </w:rPr>
        <w:t>Task Group</w:t>
      </w:r>
      <w:r w:rsidR="000E07E5" w:rsidRPr="000E07E5">
        <w:rPr>
          <w:color w:val="000000" w:themeColor="text1"/>
          <w:sz w:val="24"/>
          <w:szCs w:val="24"/>
        </w:rPr>
        <w:t xml:space="preserve"> has developed this in </w:t>
      </w:r>
      <w:r w:rsidR="00024679">
        <w:rPr>
          <w:color w:val="000000" w:themeColor="text1"/>
          <w:sz w:val="24"/>
          <w:szCs w:val="24"/>
        </w:rPr>
        <w:t>the consideration of the qualities of relationships, including marriage and in the language of the Standing Order which describes marriage</w:t>
      </w:r>
      <w:r w:rsidR="000E07E5" w:rsidRPr="000E07E5">
        <w:rPr>
          <w:color w:val="000000" w:themeColor="text1"/>
          <w:sz w:val="24"/>
          <w:szCs w:val="24"/>
        </w:rPr>
        <w:t>.</w:t>
      </w:r>
      <w:r w:rsidR="006B196F">
        <w:rPr>
          <w:rStyle w:val="FootnoteReference"/>
          <w:color w:val="000000" w:themeColor="text1"/>
          <w:sz w:val="24"/>
          <w:szCs w:val="24"/>
        </w:rPr>
        <w:footnoteReference w:id="35"/>
      </w:r>
      <w:r w:rsidR="000E07E5" w:rsidRPr="000E07E5">
        <w:rPr>
          <w:color w:val="000000" w:themeColor="text1"/>
          <w:sz w:val="24"/>
          <w:szCs w:val="24"/>
        </w:rPr>
        <w:t xml:space="preserve"> The previous </w:t>
      </w:r>
      <w:r w:rsidR="00D459CC">
        <w:rPr>
          <w:color w:val="000000" w:themeColor="text1"/>
          <w:sz w:val="24"/>
          <w:szCs w:val="24"/>
        </w:rPr>
        <w:t>Task Group</w:t>
      </w:r>
      <w:r w:rsidR="000E07E5" w:rsidRPr="000E07E5">
        <w:rPr>
          <w:color w:val="000000" w:themeColor="text1"/>
          <w:sz w:val="24"/>
          <w:szCs w:val="24"/>
        </w:rPr>
        <w:t xml:space="preserve"> held monogamy as crucial in a Christian understanding of marriage</w:t>
      </w:r>
      <w:r w:rsidR="00851EA6">
        <w:rPr>
          <w:color w:val="000000" w:themeColor="text1"/>
          <w:sz w:val="24"/>
          <w:szCs w:val="24"/>
        </w:rPr>
        <w:t>,</w:t>
      </w:r>
      <w:r w:rsidR="00851EA6">
        <w:rPr>
          <w:rStyle w:val="FootnoteReference"/>
          <w:color w:val="000000" w:themeColor="text1"/>
          <w:sz w:val="24"/>
          <w:szCs w:val="24"/>
        </w:rPr>
        <w:footnoteReference w:id="36"/>
      </w:r>
      <w:r w:rsidR="000E07E5" w:rsidRPr="000E07E5">
        <w:rPr>
          <w:color w:val="000000" w:themeColor="text1"/>
          <w:sz w:val="24"/>
          <w:szCs w:val="24"/>
        </w:rPr>
        <w:t xml:space="preserve"> and the current </w:t>
      </w:r>
      <w:r w:rsidR="00D459CC">
        <w:rPr>
          <w:color w:val="000000" w:themeColor="text1"/>
          <w:sz w:val="24"/>
          <w:szCs w:val="24"/>
        </w:rPr>
        <w:t>Task Group</w:t>
      </w:r>
      <w:r w:rsidR="000E07E5" w:rsidRPr="000E07E5">
        <w:rPr>
          <w:color w:val="000000" w:themeColor="text1"/>
          <w:sz w:val="24"/>
          <w:szCs w:val="24"/>
        </w:rPr>
        <w:t xml:space="preserve"> concur</w:t>
      </w:r>
      <w:r w:rsidR="00024679">
        <w:rPr>
          <w:color w:val="000000" w:themeColor="text1"/>
          <w:sz w:val="24"/>
          <w:szCs w:val="24"/>
        </w:rPr>
        <w:t>s</w:t>
      </w:r>
      <w:r w:rsidR="000E07E5" w:rsidRPr="000E07E5">
        <w:rPr>
          <w:color w:val="000000" w:themeColor="text1"/>
          <w:sz w:val="24"/>
          <w:szCs w:val="24"/>
        </w:rPr>
        <w:t>.</w:t>
      </w:r>
    </w:p>
    <w:p w14:paraId="5159845D" w14:textId="75426E70" w:rsidR="000E07E5" w:rsidRPr="000E07E5" w:rsidRDefault="007A7CF4" w:rsidP="001419E1">
      <w:pPr>
        <w:tabs>
          <w:tab w:val="left" w:pos="567"/>
        </w:tabs>
        <w:ind w:left="567" w:right="-22" w:hanging="567"/>
        <w:rPr>
          <w:color w:val="000000" w:themeColor="text1"/>
          <w:sz w:val="24"/>
          <w:szCs w:val="24"/>
        </w:rPr>
      </w:pPr>
      <w:r>
        <w:rPr>
          <w:color w:val="000000" w:themeColor="text1"/>
          <w:sz w:val="24"/>
          <w:szCs w:val="24"/>
        </w:rPr>
        <w:t>D2</w:t>
      </w:r>
      <w:r w:rsidR="002336C1">
        <w:rPr>
          <w:color w:val="000000" w:themeColor="text1"/>
          <w:sz w:val="24"/>
          <w:szCs w:val="24"/>
        </w:rPr>
        <w:t>1</w:t>
      </w:r>
      <w:r>
        <w:rPr>
          <w:color w:val="000000" w:themeColor="text1"/>
          <w:sz w:val="24"/>
          <w:szCs w:val="24"/>
        </w:rPr>
        <w:tab/>
      </w:r>
      <w:r w:rsidR="000E07E5" w:rsidRPr="000E07E5">
        <w:rPr>
          <w:color w:val="000000" w:themeColor="text1"/>
          <w:sz w:val="24"/>
          <w:szCs w:val="24"/>
        </w:rPr>
        <w:t xml:space="preserve">The 2016 </w:t>
      </w:r>
      <w:r w:rsidR="00D459CC">
        <w:rPr>
          <w:color w:val="000000" w:themeColor="text1"/>
          <w:sz w:val="24"/>
          <w:szCs w:val="24"/>
        </w:rPr>
        <w:t>Task Group</w:t>
      </w:r>
      <w:r w:rsidR="000E07E5" w:rsidRPr="000E07E5">
        <w:rPr>
          <w:color w:val="000000" w:themeColor="text1"/>
          <w:sz w:val="24"/>
          <w:szCs w:val="24"/>
        </w:rPr>
        <w:t xml:space="preserve"> report contained the additional reflection that the feedback from the Connexion had shown there was a “lack of understanding of how to use and reflect on Scripture, and the tools of scriptural interpretation” and at the same time “there is a wealth of knowledge, expertise and experience in the Connexion, which could and should be used more”.</w:t>
      </w:r>
      <w:r>
        <w:rPr>
          <w:rStyle w:val="FootnoteReference"/>
          <w:color w:val="000000" w:themeColor="text1"/>
          <w:sz w:val="24"/>
          <w:szCs w:val="24"/>
        </w:rPr>
        <w:footnoteReference w:id="37"/>
      </w:r>
      <w:r w:rsidR="000E07E5" w:rsidRPr="000E07E5">
        <w:rPr>
          <w:color w:val="000000" w:themeColor="text1"/>
          <w:sz w:val="24"/>
          <w:szCs w:val="24"/>
        </w:rPr>
        <w:t xml:space="preserve"> The current </w:t>
      </w:r>
      <w:r w:rsidR="00D459CC">
        <w:rPr>
          <w:color w:val="000000" w:themeColor="text1"/>
          <w:sz w:val="24"/>
          <w:szCs w:val="24"/>
        </w:rPr>
        <w:t>Task Group</w:t>
      </w:r>
      <w:r w:rsidR="000E07E5" w:rsidRPr="000E07E5">
        <w:rPr>
          <w:color w:val="000000" w:themeColor="text1"/>
          <w:sz w:val="24"/>
          <w:szCs w:val="24"/>
        </w:rPr>
        <w:t xml:space="preserve"> has an ongoing concern that this work on enabling the Methodist </w:t>
      </w:r>
      <w:r w:rsidR="00CA1444">
        <w:rPr>
          <w:color w:val="000000" w:themeColor="text1"/>
          <w:sz w:val="24"/>
          <w:szCs w:val="24"/>
        </w:rPr>
        <w:t>p</w:t>
      </w:r>
      <w:r w:rsidR="000E07E5" w:rsidRPr="000E07E5">
        <w:rPr>
          <w:color w:val="000000" w:themeColor="text1"/>
          <w:sz w:val="24"/>
          <w:szCs w:val="24"/>
        </w:rPr>
        <w:t>eople to reflect on and interpret Scripture should be appropriately focused upon and resourced.</w:t>
      </w:r>
      <w:r w:rsidR="0005277F">
        <w:rPr>
          <w:color w:val="000000" w:themeColor="text1"/>
          <w:sz w:val="24"/>
          <w:szCs w:val="24"/>
        </w:rPr>
        <w:t xml:space="preserve"> We reflect upon the different attitudes to the authority of Scripture in section 4.3.14 of the 2019 report.</w:t>
      </w:r>
    </w:p>
    <w:p w14:paraId="7237B3F5" w14:textId="6E914BC3" w:rsidR="000E07E5" w:rsidRPr="000E07E5" w:rsidRDefault="009E5CDE" w:rsidP="001419E1">
      <w:pPr>
        <w:tabs>
          <w:tab w:val="left" w:pos="567"/>
        </w:tabs>
        <w:ind w:left="567" w:right="-22" w:hanging="567"/>
        <w:rPr>
          <w:color w:val="000000" w:themeColor="text1"/>
          <w:sz w:val="24"/>
          <w:szCs w:val="24"/>
        </w:rPr>
      </w:pPr>
      <w:r>
        <w:rPr>
          <w:color w:val="000000" w:themeColor="text1"/>
          <w:sz w:val="24"/>
          <w:szCs w:val="24"/>
        </w:rPr>
        <w:t>D2</w:t>
      </w:r>
      <w:r w:rsidR="002336C1">
        <w:rPr>
          <w:color w:val="000000" w:themeColor="text1"/>
          <w:sz w:val="24"/>
          <w:szCs w:val="24"/>
        </w:rPr>
        <w:t>2</w:t>
      </w:r>
      <w:r>
        <w:rPr>
          <w:color w:val="000000" w:themeColor="text1"/>
          <w:sz w:val="24"/>
          <w:szCs w:val="24"/>
        </w:rPr>
        <w:tab/>
      </w:r>
      <w:r w:rsidR="000E07E5" w:rsidRPr="000E07E5">
        <w:rPr>
          <w:color w:val="000000" w:themeColor="text1"/>
          <w:sz w:val="24"/>
          <w:szCs w:val="24"/>
        </w:rPr>
        <w:t xml:space="preserve">In </w:t>
      </w:r>
      <w:proofErr w:type="gramStart"/>
      <w:r w:rsidR="000E07E5" w:rsidRPr="000E07E5">
        <w:rPr>
          <w:color w:val="000000" w:themeColor="text1"/>
          <w:sz w:val="24"/>
          <w:szCs w:val="24"/>
        </w:rPr>
        <w:t>summary</w:t>
      </w:r>
      <w:proofErr w:type="gramEnd"/>
      <w:r w:rsidR="000E07E5" w:rsidRPr="000E07E5">
        <w:rPr>
          <w:color w:val="000000" w:themeColor="text1"/>
          <w:sz w:val="24"/>
          <w:szCs w:val="24"/>
        </w:rPr>
        <w:t xml:space="preserve"> the recommendation</w:t>
      </w:r>
      <w:r>
        <w:rPr>
          <w:color w:val="000000" w:themeColor="text1"/>
          <w:sz w:val="24"/>
          <w:szCs w:val="24"/>
        </w:rPr>
        <w:t>s</w:t>
      </w:r>
      <w:r w:rsidR="000E07E5" w:rsidRPr="000E07E5">
        <w:rPr>
          <w:color w:val="000000" w:themeColor="text1"/>
          <w:sz w:val="24"/>
          <w:szCs w:val="24"/>
        </w:rPr>
        <w:t xml:space="preserve"> of the 2016 report with regard to the 1992 Statement and the Definition of Marriage were that:</w:t>
      </w:r>
    </w:p>
    <w:p w14:paraId="5DFFA57A" w14:textId="104FA0D6" w:rsidR="000E07E5" w:rsidRPr="004545F5" w:rsidRDefault="000E07E5" w:rsidP="0030130A">
      <w:pPr>
        <w:pStyle w:val="ListParagraph"/>
        <w:numPr>
          <w:ilvl w:val="0"/>
          <w:numId w:val="4"/>
        </w:numPr>
        <w:tabs>
          <w:tab w:val="left" w:pos="567"/>
        </w:tabs>
        <w:ind w:left="1134" w:right="-23" w:hanging="567"/>
        <w:contextualSpacing w:val="0"/>
        <w:rPr>
          <w:color w:val="000000" w:themeColor="text1"/>
          <w:sz w:val="24"/>
          <w:szCs w:val="24"/>
        </w:rPr>
      </w:pPr>
      <w:r w:rsidRPr="004545F5">
        <w:rPr>
          <w:bCs/>
          <w:color w:val="000000" w:themeColor="text1"/>
          <w:sz w:val="24"/>
          <w:szCs w:val="24"/>
        </w:rPr>
        <w:t xml:space="preserve">the Statement on </w:t>
      </w:r>
      <w:r w:rsidRPr="004545F5">
        <w:rPr>
          <w:bCs/>
          <w:i/>
          <w:iCs/>
          <w:color w:val="000000" w:themeColor="text1"/>
          <w:sz w:val="24"/>
          <w:szCs w:val="24"/>
        </w:rPr>
        <w:t>A Christian Understanding of Family Life, the Single Person and Marriage</w:t>
      </w:r>
      <w:r w:rsidRPr="004545F5">
        <w:rPr>
          <w:bCs/>
          <w:color w:val="000000" w:themeColor="text1"/>
          <w:sz w:val="24"/>
          <w:szCs w:val="24"/>
        </w:rPr>
        <w:t>, 1992, should be updated and that as part of that process, the definition of marriage should be revisited.</w:t>
      </w:r>
      <w:r w:rsidR="00BE69E5">
        <w:rPr>
          <w:bCs/>
          <w:color w:val="000000" w:themeColor="text1"/>
          <w:sz w:val="24"/>
          <w:szCs w:val="24"/>
        </w:rPr>
        <w:t>;</w:t>
      </w:r>
    </w:p>
    <w:p w14:paraId="20238B43" w14:textId="0195705C" w:rsidR="00BE69E5" w:rsidRPr="00BE69E5" w:rsidRDefault="000E07E5" w:rsidP="00BE69E5">
      <w:pPr>
        <w:pStyle w:val="ListParagraph"/>
        <w:numPr>
          <w:ilvl w:val="0"/>
          <w:numId w:val="4"/>
        </w:numPr>
        <w:tabs>
          <w:tab w:val="left" w:pos="567"/>
        </w:tabs>
        <w:ind w:left="1134" w:right="-23" w:hanging="567"/>
        <w:contextualSpacing w:val="0"/>
        <w:rPr>
          <w:color w:val="000000" w:themeColor="text1"/>
          <w:sz w:val="24"/>
          <w:szCs w:val="24"/>
        </w:rPr>
      </w:pPr>
      <w:r w:rsidRPr="004545F5">
        <w:rPr>
          <w:bCs/>
          <w:color w:val="000000" w:themeColor="text1"/>
          <w:sz w:val="24"/>
          <w:szCs w:val="24"/>
        </w:rPr>
        <w:t xml:space="preserve">a new </w:t>
      </w:r>
      <w:r w:rsidR="00D459CC" w:rsidRPr="004545F5">
        <w:rPr>
          <w:bCs/>
          <w:color w:val="000000" w:themeColor="text1"/>
          <w:sz w:val="24"/>
          <w:szCs w:val="24"/>
        </w:rPr>
        <w:t>Task Group</w:t>
      </w:r>
      <w:r w:rsidRPr="004545F5">
        <w:rPr>
          <w:bCs/>
          <w:color w:val="000000" w:themeColor="text1"/>
          <w:sz w:val="24"/>
          <w:szCs w:val="24"/>
        </w:rPr>
        <w:t xml:space="preserve"> be appointed to update the Statement and to oversee the process of consulting with the Methodist people on revising the definition of marriage; the </w:t>
      </w:r>
      <w:r w:rsidR="00D459CC" w:rsidRPr="004545F5">
        <w:rPr>
          <w:bCs/>
          <w:color w:val="000000" w:themeColor="text1"/>
          <w:sz w:val="24"/>
          <w:szCs w:val="24"/>
        </w:rPr>
        <w:t>Task Group</w:t>
      </w:r>
      <w:r w:rsidRPr="004545F5">
        <w:rPr>
          <w:bCs/>
          <w:color w:val="000000" w:themeColor="text1"/>
          <w:sz w:val="24"/>
          <w:szCs w:val="24"/>
        </w:rPr>
        <w:t xml:space="preserve"> should include expert knowledge of matters of Faith and Order and marriage and relationships</w:t>
      </w:r>
      <w:r w:rsidR="00BE69E5">
        <w:rPr>
          <w:bCs/>
          <w:color w:val="000000" w:themeColor="text1"/>
          <w:sz w:val="24"/>
          <w:szCs w:val="24"/>
        </w:rPr>
        <w:t>;</w:t>
      </w:r>
    </w:p>
    <w:p w14:paraId="3ED76570" w14:textId="677CEA81" w:rsidR="000E07E5" w:rsidRPr="004545F5" w:rsidRDefault="000E07E5" w:rsidP="0030130A">
      <w:pPr>
        <w:pStyle w:val="ListParagraph"/>
        <w:numPr>
          <w:ilvl w:val="0"/>
          <w:numId w:val="4"/>
        </w:numPr>
        <w:tabs>
          <w:tab w:val="left" w:pos="567"/>
        </w:tabs>
        <w:ind w:left="1134" w:right="-22" w:hanging="567"/>
        <w:rPr>
          <w:color w:val="000000" w:themeColor="text1"/>
          <w:sz w:val="24"/>
          <w:szCs w:val="24"/>
        </w:rPr>
      </w:pPr>
      <w:r w:rsidRPr="004545F5">
        <w:rPr>
          <w:bCs/>
          <w:color w:val="000000" w:themeColor="text1"/>
          <w:sz w:val="24"/>
          <w:szCs w:val="24"/>
        </w:rPr>
        <w:t xml:space="preserve">the new </w:t>
      </w:r>
      <w:r w:rsidR="00D459CC" w:rsidRPr="004545F5">
        <w:rPr>
          <w:bCs/>
          <w:color w:val="000000" w:themeColor="text1"/>
          <w:sz w:val="24"/>
          <w:szCs w:val="24"/>
        </w:rPr>
        <w:t>Task Group</w:t>
      </w:r>
      <w:r w:rsidRPr="004545F5">
        <w:rPr>
          <w:bCs/>
          <w:color w:val="000000" w:themeColor="text1"/>
          <w:sz w:val="24"/>
          <w:szCs w:val="24"/>
        </w:rPr>
        <w:t xml:space="preserve"> should report to the 2018 Conference with a draft statement(s)</w:t>
      </w:r>
      <w:r w:rsidR="00223BFF">
        <w:rPr>
          <w:bCs/>
          <w:color w:val="000000" w:themeColor="text1"/>
          <w:sz w:val="24"/>
          <w:szCs w:val="24"/>
        </w:rPr>
        <w:t xml:space="preserve">, </w:t>
      </w:r>
      <w:r w:rsidR="00A54601">
        <w:rPr>
          <w:bCs/>
          <w:color w:val="000000" w:themeColor="text1"/>
          <w:sz w:val="24"/>
          <w:szCs w:val="24"/>
        </w:rPr>
        <w:t xml:space="preserve">in which they </w:t>
      </w:r>
      <w:r w:rsidR="006C0E1A">
        <w:rPr>
          <w:bCs/>
          <w:color w:val="000000" w:themeColor="text1"/>
          <w:sz w:val="24"/>
          <w:szCs w:val="24"/>
        </w:rPr>
        <w:t>considered</w:t>
      </w:r>
      <w:r w:rsidRPr="004545F5">
        <w:rPr>
          <w:bCs/>
          <w:color w:val="000000" w:themeColor="text1"/>
          <w:sz w:val="24"/>
          <w:szCs w:val="24"/>
        </w:rPr>
        <w:t xml:space="preserve">: </w:t>
      </w:r>
    </w:p>
    <w:p w14:paraId="685B619C" w14:textId="0C5A9384" w:rsidR="000E07E5" w:rsidRPr="000E07E5" w:rsidRDefault="000E07E5" w:rsidP="0030130A">
      <w:pPr>
        <w:tabs>
          <w:tab w:val="left" w:pos="567"/>
          <w:tab w:val="left" w:pos="1134"/>
          <w:tab w:val="left" w:pos="1701"/>
        </w:tabs>
        <w:ind w:left="1701" w:right="-22" w:hanging="567"/>
        <w:rPr>
          <w:color w:val="000000" w:themeColor="text1"/>
          <w:sz w:val="24"/>
          <w:szCs w:val="24"/>
        </w:rPr>
      </w:pPr>
      <w:r w:rsidRPr="000E07E5">
        <w:rPr>
          <w:bCs/>
          <w:color w:val="000000" w:themeColor="text1"/>
          <w:sz w:val="24"/>
          <w:szCs w:val="24"/>
        </w:rPr>
        <w:t xml:space="preserve">a) </w:t>
      </w:r>
      <w:r w:rsidR="0030130A">
        <w:rPr>
          <w:bCs/>
          <w:color w:val="000000" w:themeColor="text1"/>
          <w:sz w:val="24"/>
          <w:szCs w:val="24"/>
        </w:rPr>
        <w:tab/>
      </w:r>
      <w:proofErr w:type="gramStart"/>
      <w:r w:rsidRPr="000E07E5">
        <w:rPr>
          <w:bCs/>
          <w:color w:val="000000" w:themeColor="text1"/>
          <w:sz w:val="24"/>
          <w:szCs w:val="24"/>
        </w:rPr>
        <w:t>all</w:t>
      </w:r>
      <w:proofErr w:type="gramEnd"/>
      <w:r w:rsidRPr="000E07E5">
        <w:rPr>
          <w:bCs/>
          <w:color w:val="000000" w:themeColor="text1"/>
          <w:sz w:val="24"/>
          <w:szCs w:val="24"/>
        </w:rPr>
        <w:t xml:space="preserve"> relevant reports produced and resolutions passed by the Conference; </w:t>
      </w:r>
      <w:r w:rsidR="006C0E1A">
        <w:rPr>
          <w:bCs/>
          <w:color w:val="000000" w:themeColor="text1"/>
          <w:sz w:val="24"/>
          <w:szCs w:val="24"/>
        </w:rPr>
        <w:t>and</w:t>
      </w:r>
    </w:p>
    <w:p w14:paraId="14BC9B68" w14:textId="067295DA" w:rsidR="000E07E5" w:rsidRPr="000E07E5" w:rsidRDefault="000E07E5" w:rsidP="0030130A">
      <w:pPr>
        <w:tabs>
          <w:tab w:val="left" w:pos="567"/>
          <w:tab w:val="left" w:pos="1134"/>
          <w:tab w:val="left" w:pos="1701"/>
        </w:tabs>
        <w:ind w:left="1701" w:right="-22" w:hanging="567"/>
        <w:rPr>
          <w:color w:val="000000" w:themeColor="text1"/>
          <w:sz w:val="24"/>
          <w:szCs w:val="24"/>
        </w:rPr>
      </w:pPr>
      <w:r w:rsidRPr="000E07E5">
        <w:rPr>
          <w:bCs/>
          <w:color w:val="000000" w:themeColor="text1"/>
          <w:sz w:val="24"/>
          <w:szCs w:val="24"/>
        </w:rPr>
        <w:t xml:space="preserve">b) </w:t>
      </w:r>
      <w:r w:rsidR="0030130A">
        <w:rPr>
          <w:bCs/>
          <w:color w:val="000000" w:themeColor="text1"/>
          <w:sz w:val="24"/>
          <w:szCs w:val="24"/>
        </w:rPr>
        <w:tab/>
      </w:r>
      <w:proofErr w:type="gramStart"/>
      <w:r w:rsidRPr="000E07E5">
        <w:rPr>
          <w:bCs/>
          <w:color w:val="000000" w:themeColor="text1"/>
          <w:sz w:val="24"/>
          <w:szCs w:val="24"/>
        </w:rPr>
        <w:t>whether</w:t>
      </w:r>
      <w:proofErr w:type="gramEnd"/>
      <w:r w:rsidRPr="000E07E5">
        <w:rPr>
          <w:bCs/>
          <w:color w:val="000000" w:themeColor="text1"/>
          <w:sz w:val="24"/>
          <w:szCs w:val="24"/>
        </w:rPr>
        <w:t xml:space="preserve"> the definition of marriage should be revised, in light of the views raised</w:t>
      </w:r>
      <w:r w:rsidR="00A32EFA">
        <w:rPr>
          <w:bCs/>
          <w:color w:val="000000" w:themeColor="text1"/>
          <w:sz w:val="24"/>
          <w:szCs w:val="24"/>
        </w:rPr>
        <w:t xml:space="preserve"> throughout the report</w:t>
      </w:r>
      <w:r w:rsidRPr="000E07E5">
        <w:rPr>
          <w:bCs/>
          <w:color w:val="000000" w:themeColor="text1"/>
          <w:sz w:val="24"/>
          <w:szCs w:val="24"/>
        </w:rPr>
        <w:t xml:space="preserve">. </w:t>
      </w:r>
    </w:p>
    <w:p w14:paraId="51873B5B" w14:textId="6DF58FEF" w:rsidR="000E07E5" w:rsidRPr="000E07E5" w:rsidRDefault="000E10DC" w:rsidP="001419E1">
      <w:pPr>
        <w:tabs>
          <w:tab w:val="left" w:pos="567"/>
        </w:tabs>
        <w:ind w:left="567" w:right="-22" w:hanging="567"/>
        <w:rPr>
          <w:color w:val="000000" w:themeColor="text1"/>
          <w:sz w:val="24"/>
          <w:szCs w:val="24"/>
        </w:rPr>
      </w:pPr>
      <w:r>
        <w:rPr>
          <w:color w:val="000000" w:themeColor="text1"/>
          <w:sz w:val="24"/>
          <w:szCs w:val="24"/>
        </w:rPr>
        <w:t>D2</w:t>
      </w:r>
      <w:r w:rsidR="002336C1">
        <w:rPr>
          <w:color w:val="000000" w:themeColor="text1"/>
          <w:sz w:val="24"/>
          <w:szCs w:val="24"/>
        </w:rPr>
        <w:t>3</w:t>
      </w:r>
      <w:r>
        <w:rPr>
          <w:color w:val="000000" w:themeColor="text1"/>
          <w:sz w:val="24"/>
          <w:szCs w:val="24"/>
        </w:rPr>
        <w:tab/>
      </w:r>
      <w:r w:rsidR="000E07E5" w:rsidRPr="000E07E5">
        <w:rPr>
          <w:color w:val="000000" w:themeColor="text1"/>
          <w:sz w:val="24"/>
          <w:szCs w:val="24"/>
        </w:rPr>
        <w:t xml:space="preserve">At the 2016 Conference the Marriage and Relationships </w:t>
      </w:r>
      <w:r w:rsidR="00D459CC">
        <w:rPr>
          <w:color w:val="000000" w:themeColor="text1"/>
          <w:sz w:val="24"/>
          <w:szCs w:val="24"/>
        </w:rPr>
        <w:t>Task Group</w:t>
      </w:r>
      <w:r w:rsidR="000E07E5" w:rsidRPr="000E07E5">
        <w:rPr>
          <w:color w:val="000000" w:themeColor="text1"/>
          <w:sz w:val="24"/>
          <w:szCs w:val="24"/>
        </w:rPr>
        <w:t xml:space="preserve"> report was received and </w:t>
      </w:r>
      <w:r w:rsidR="0005277F">
        <w:rPr>
          <w:color w:val="000000" w:themeColor="text1"/>
          <w:sz w:val="24"/>
          <w:szCs w:val="24"/>
        </w:rPr>
        <w:t xml:space="preserve">the </w:t>
      </w:r>
      <w:r w:rsidR="000E07E5" w:rsidRPr="000E07E5">
        <w:rPr>
          <w:color w:val="000000" w:themeColor="text1"/>
          <w:sz w:val="24"/>
          <w:szCs w:val="24"/>
        </w:rPr>
        <w:t xml:space="preserve">resolutions </w:t>
      </w:r>
      <w:r w:rsidR="0005277F">
        <w:rPr>
          <w:color w:val="000000" w:themeColor="text1"/>
          <w:sz w:val="24"/>
          <w:szCs w:val="24"/>
        </w:rPr>
        <w:t xml:space="preserve">from the report </w:t>
      </w:r>
      <w:r w:rsidR="000E07E5" w:rsidRPr="000E07E5">
        <w:rPr>
          <w:color w:val="000000" w:themeColor="text1"/>
          <w:sz w:val="24"/>
          <w:szCs w:val="24"/>
        </w:rPr>
        <w:t xml:space="preserve">were adopted in the following form (Daily Record 6/14/1 and 6/14/2):  </w:t>
      </w:r>
    </w:p>
    <w:p w14:paraId="4BFCFA49" w14:textId="77777777" w:rsidR="000E07E5" w:rsidRPr="000E07E5" w:rsidRDefault="000E07E5" w:rsidP="000E10DC">
      <w:pPr>
        <w:tabs>
          <w:tab w:val="left" w:pos="567"/>
        </w:tabs>
        <w:ind w:left="1134" w:right="-22" w:hanging="567"/>
        <w:rPr>
          <w:i/>
          <w:color w:val="000000" w:themeColor="text1"/>
          <w:sz w:val="24"/>
          <w:szCs w:val="24"/>
        </w:rPr>
      </w:pPr>
      <w:r w:rsidRPr="000E07E5">
        <w:rPr>
          <w:i/>
          <w:color w:val="000000" w:themeColor="text1"/>
          <w:sz w:val="24"/>
          <w:szCs w:val="24"/>
        </w:rPr>
        <w:t xml:space="preserve"> 29/7 The Conference directed that a new Statement of the judgment of the Conference on marriage and relationships shall be prepared and that, as part of the process, the definition of marriage should be revisited.   </w:t>
      </w:r>
    </w:p>
    <w:p w14:paraId="431A8F65" w14:textId="78F6D68B" w:rsidR="000E07E5" w:rsidRPr="000E07E5" w:rsidRDefault="000E07E5" w:rsidP="000E10DC">
      <w:pPr>
        <w:tabs>
          <w:tab w:val="left" w:pos="567"/>
        </w:tabs>
        <w:ind w:left="1134" w:right="-22" w:hanging="567"/>
        <w:rPr>
          <w:i/>
          <w:color w:val="000000" w:themeColor="text1"/>
          <w:sz w:val="24"/>
          <w:szCs w:val="24"/>
        </w:rPr>
      </w:pPr>
      <w:r w:rsidRPr="000E07E5">
        <w:rPr>
          <w:i/>
          <w:color w:val="000000" w:themeColor="text1"/>
          <w:sz w:val="24"/>
          <w:szCs w:val="24"/>
        </w:rPr>
        <w:t xml:space="preserve">29/8 The Conference appointed a new </w:t>
      </w:r>
      <w:r w:rsidR="00D459CC" w:rsidRPr="000E10DC">
        <w:rPr>
          <w:i/>
          <w:color w:val="000000" w:themeColor="text1"/>
          <w:sz w:val="24"/>
          <w:szCs w:val="24"/>
        </w:rPr>
        <w:t>Task Group</w:t>
      </w:r>
      <w:r w:rsidRPr="000E07E5">
        <w:rPr>
          <w:i/>
          <w:color w:val="000000" w:themeColor="text1"/>
          <w:sz w:val="24"/>
          <w:szCs w:val="24"/>
        </w:rPr>
        <w:t xml:space="preserve">, which shall include people with expert knowledge of matters of Faith and Order and marriage and relationships, to update the Statement and to oversee the process of consulting with the Methodist people on the definition of marriage.        </w:t>
      </w:r>
    </w:p>
    <w:p w14:paraId="485CFD1A" w14:textId="77777777" w:rsidR="000E10DC" w:rsidRDefault="000E07E5" w:rsidP="00BC7FC5">
      <w:pPr>
        <w:tabs>
          <w:tab w:val="left" w:pos="567"/>
        </w:tabs>
        <w:ind w:left="1134" w:right="-23" w:hanging="567"/>
        <w:contextualSpacing/>
        <w:rPr>
          <w:i/>
          <w:color w:val="000000" w:themeColor="text1"/>
          <w:sz w:val="24"/>
          <w:szCs w:val="24"/>
        </w:rPr>
      </w:pPr>
      <w:r w:rsidRPr="000E07E5">
        <w:rPr>
          <w:i/>
          <w:color w:val="000000" w:themeColor="text1"/>
          <w:sz w:val="24"/>
          <w:szCs w:val="24"/>
        </w:rPr>
        <w:t xml:space="preserve">29/9. The Conference directed that the new </w:t>
      </w:r>
      <w:r w:rsidR="00D459CC" w:rsidRPr="000E10DC">
        <w:rPr>
          <w:i/>
          <w:color w:val="000000" w:themeColor="text1"/>
          <w:sz w:val="24"/>
          <w:szCs w:val="24"/>
        </w:rPr>
        <w:t>Task Group</w:t>
      </w:r>
      <w:r w:rsidRPr="000E07E5">
        <w:rPr>
          <w:i/>
          <w:color w:val="000000" w:themeColor="text1"/>
          <w:sz w:val="24"/>
          <w:szCs w:val="24"/>
        </w:rPr>
        <w:t xml:space="preserve"> shall report to the 2018 Conference with a draft text of a new statement which shall include:</w:t>
      </w:r>
    </w:p>
    <w:p w14:paraId="01CB9B96" w14:textId="77777777" w:rsidR="00BC7FC5" w:rsidRDefault="00BC7FC5" w:rsidP="00BC7FC5">
      <w:pPr>
        <w:tabs>
          <w:tab w:val="left" w:pos="567"/>
          <w:tab w:val="left" w:pos="1134"/>
          <w:tab w:val="left" w:pos="1701"/>
        </w:tabs>
        <w:ind w:left="1134" w:right="-23" w:hanging="567"/>
        <w:contextualSpacing/>
        <w:rPr>
          <w:i/>
          <w:color w:val="000000" w:themeColor="text1"/>
          <w:sz w:val="24"/>
          <w:szCs w:val="24"/>
        </w:rPr>
      </w:pPr>
      <w:r>
        <w:rPr>
          <w:i/>
          <w:color w:val="000000" w:themeColor="text1"/>
          <w:sz w:val="24"/>
          <w:szCs w:val="24"/>
        </w:rPr>
        <w:tab/>
      </w:r>
      <w:r w:rsidR="000E07E5" w:rsidRPr="000E07E5">
        <w:rPr>
          <w:i/>
          <w:color w:val="000000" w:themeColor="text1"/>
          <w:sz w:val="24"/>
          <w:szCs w:val="24"/>
        </w:rPr>
        <w:t xml:space="preserve">   </w:t>
      </w:r>
      <w:r>
        <w:rPr>
          <w:i/>
          <w:color w:val="000000" w:themeColor="text1"/>
          <w:sz w:val="24"/>
          <w:szCs w:val="24"/>
        </w:rPr>
        <w:tab/>
      </w:r>
      <w:r w:rsidR="000E07E5" w:rsidRPr="000E07E5">
        <w:rPr>
          <w:i/>
          <w:color w:val="000000" w:themeColor="text1"/>
          <w:sz w:val="24"/>
          <w:szCs w:val="24"/>
        </w:rPr>
        <w:t xml:space="preserve"> a) </w:t>
      </w:r>
      <w:r>
        <w:rPr>
          <w:i/>
          <w:color w:val="000000" w:themeColor="text1"/>
          <w:sz w:val="24"/>
          <w:szCs w:val="24"/>
        </w:rPr>
        <w:tab/>
      </w:r>
      <w:proofErr w:type="gramStart"/>
      <w:r w:rsidR="000E07E5" w:rsidRPr="000E07E5">
        <w:rPr>
          <w:i/>
          <w:color w:val="000000" w:themeColor="text1"/>
          <w:sz w:val="24"/>
          <w:szCs w:val="24"/>
        </w:rPr>
        <w:t>consideration</w:t>
      </w:r>
      <w:proofErr w:type="gramEnd"/>
      <w:r w:rsidR="000E07E5" w:rsidRPr="000E07E5">
        <w:rPr>
          <w:i/>
          <w:color w:val="000000" w:themeColor="text1"/>
          <w:sz w:val="24"/>
          <w:szCs w:val="24"/>
        </w:rPr>
        <w:t xml:space="preserve"> of all relevant Reports produced and Resolutions passed by </w:t>
      </w:r>
      <w:r>
        <w:rPr>
          <w:i/>
          <w:color w:val="000000" w:themeColor="text1"/>
          <w:sz w:val="24"/>
          <w:szCs w:val="24"/>
        </w:rPr>
        <w:tab/>
      </w:r>
      <w:r w:rsidR="000E07E5" w:rsidRPr="000E07E5">
        <w:rPr>
          <w:i/>
          <w:color w:val="000000" w:themeColor="text1"/>
          <w:sz w:val="24"/>
          <w:szCs w:val="24"/>
        </w:rPr>
        <w:t>the Conference… (</w:t>
      </w:r>
      <w:proofErr w:type="gramStart"/>
      <w:r w:rsidR="000E07E5" w:rsidRPr="000E07E5">
        <w:rPr>
          <w:i/>
          <w:color w:val="000000" w:themeColor="text1"/>
          <w:sz w:val="24"/>
          <w:szCs w:val="24"/>
        </w:rPr>
        <w:t>sc</w:t>
      </w:r>
      <w:proofErr w:type="gramEnd"/>
      <w:r w:rsidR="000E07E5" w:rsidRPr="000E07E5">
        <w:rPr>
          <w:i/>
          <w:color w:val="000000" w:themeColor="text1"/>
          <w:sz w:val="24"/>
          <w:szCs w:val="24"/>
        </w:rPr>
        <w:t xml:space="preserve">. as set out in paragraph 3.5.1 of the 2016 report);    </w:t>
      </w:r>
    </w:p>
    <w:p w14:paraId="6CFBFD77" w14:textId="7E3A32B6" w:rsidR="000E07E5" w:rsidRPr="000E07E5" w:rsidRDefault="00BC7FC5" w:rsidP="00BC7FC5">
      <w:pPr>
        <w:tabs>
          <w:tab w:val="left" w:pos="567"/>
          <w:tab w:val="left" w:pos="1134"/>
          <w:tab w:val="left" w:pos="1701"/>
        </w:tabs>
        <w:ind w:left="1692" w:right="-22" w:hanging="1125"/>
        <w:rPr>
          <w:i/>
          <w:color w:val="000000" w:themeColor="text1"/>
          <w:sz w:val="24"/>
          <w:szCs w:val="24"/>
        </w:rPr>
      </w:pPr>
      <w:r>
        <w:rPr>
          <w:i/>
          <w:color w:val="000000" w:themeColor="text1"/>
          <w:sz w:val="24"/>
          <w:szCs w:val="24"/>
        </w:rPr>
        <w:tab/>
      </w:r>
      <w:r w:rsidR="000E07E5" w:rsidRPr="000E07E5">
        <w:rPr>
          <w:i/>
          <w:color w:val="000000" w:themeColor="text1"/>
          <w:sz w:val="24"/>
          <w:szCs w:val="24"/>
        </w:rPr>
        <w:t xml:space="preserve">b) </w:t>
      </w:r>
      <w:r>
        <w:rPr>
          <w:i/>
          <w:color w:val="000000" w:themeColor="text1"/>
          <w:sz w:val="24"/>
          <w:szCs w:val="24"/>
        </w:rPr>
        <w:tab/>
      </w:r>
      <w:r w:rsidR="000E07E5" w:rsidRPr="000E07E5">
        <w:rPr>
          <w:i/>
          <w:color w:val="000000" w:themeColor="text1"/>
          <w:sz w:val="24"/>
          <w:szCs w:val="24"/>
        </w:rPr>
        <w:t>consideration of the definition of marriage, including the matters raised throughout section 3 of … (sc. the 2016) report.</w:t>
      </w:r>
    </w:p>
    <w:p w14:paraId="12A41249" w14:textId="4743E283" w:rsidR="0013597E" w:rsidRPr="000C541E" w:rsidRDefault="00386C13" w:rsidP="00274F35">
      <w:pPr>
        <w:tabs>
          <w:tab w:val="left" w:pos="567"/>
        </w:tabs>
        <w:ind w:left="567" w:right="-22" w:hanging="567"/>
        <w:rPr>
          <w:color w:val="000000" w:themeColor="text1"/>
          <w:sz w:val="24"/>
          <w:szCs w:val="24"/>
        </w:rPr>
      </w:pPr>
      <w:r w:rsidRPr="00115CE1">
        <w:rPr>
          <w:color w:val="000000" w:themeColor="text1"/>
          <w:sz w:val="24"/>
          <w:szCs w:val="24"/>
        </w:rPr>
        <w:t>D2</w:t>
      </w:r>
      <w:r w:rsidR="00115CE1">
        <w:rPr>
          <w:color w:val="000000" w:themeColor="text1"/>
          <w:sz w:val="24"/>
          <w:szCs w:val="24"/>
        </w:rPr>
        <w:t>4</w:t>
      </w:r>
      <w:r w:rsidR="00BC6E07">
        <w:rPr>
          <w:color w:val="000000" w:themeColor="text1"/>
          <w:sz w:val="24"/>
          <w:szCs w:val="24"/>
        </w:rPr>
        <w:tab/>
      </w:r>
      <w:r w:rsidRPr="00274F35">
        <w:rPr>
          <w:color w:val="000000"/>
          <w:sz w:val="24"/>
          <w:szCs w:val="24"/>
        </w:rPr>
        <w:t>I</w:t>
      </w:r>
      <w:r w:rsidR="00692042" w:rsidRPr="00274F35">
        <w:rPr>
          <w:color w:val="000000"/>
          <w:sz w:val="24"/>
          <w:szCs w:val="24"/>
        </w:rPr>
        <w:t>n 2018, the Conference adopted Resolutions 27A/1 and 27A/2 (Daily Record 7/17/2), which charged the Task Group with bringing to the 2019 Conference a report with recommendations in place of a draft formal Statement. This process would allow for proper consultation, but also meet the sense of urgency being expressed by many in these matters</w:t>
      </w:r>
      <w:r w:rsidR="00E6322B">
        <w:rPr>
          <w:color w:val="000000"/>
          <w:sz w:val="24"/>
          <w:szCs w:val="24"/>
        </w:rPr>
        <w:t>.</w:t>
      </w:r>
    </w:p>
    <w:p w14:paraId="6F96FC8E" w14:textId="12F7C76F" w:rsidR="0013597E" w:rsidRPr="00274F35" w:rsidRDefault="00274F35" w:rsidP="00274F35">
      <w:pPr>
        <w:tabs>
          <w:tab w:val="left" w:pos="567"/>
        </w:tabs>
        <w:ind w:left="567" w:hanging="567"/>
        <w:rPr>
          <w:sz w:val="24"/>
          <w:szCs w:val="24"/>
        </w:rPr>
      </w:pPr>
      <w:r>
        <w:rPr>
          <w:sz w:val="24"/>
          <w:szCs w:val="24"/>
        </w:rPr>
        <w:tab/>
      </w:r>
      <w:r w:rsidR="008C3E57" w:rsidRPr="00274F35">
        <w:rPr>
          <w:sz w:val="24"/>
          <w:szCs w:val="24"/>
        </w:rPr>
        <w:t xml:space="preserve">The </w:t>
      </w:r>
      <w:r w:rsidR="00534833">
        <w:rPr>
          <w:sz w:val="24"/>
          <w:szCs w:val="24"/>
        </w:rPr>
        <w:t xml:space="preserve">2019 </w:t>
      </w:r>
      <w:r w:rsidR="008C3E57" w:rsidRPr="00274F35">
        <w:rPr>
          <w:sz w:val="24"/>
          <w:szCs w:val="24"/>
        </w:rPr>
        <w:t xml:space="preserve">report </w:t>
      </w:r>
      <w:r w:rsidR="008C3E57" w:rsidRPr="00274F35">
        <w:rPr>
          <w:i/>
          <w:sz w:val="24"/>
          <w:szCs w:val="24"/>
        </w:rPr>
        <w:t>God in love unites us</w:t>
      </w:r>
      <w:r w:rsidR="008C3E57" w:rsidRPr="00274F35">
        <w:rPr>
          <w:sz w:val="24"/>
          <w:szCs w:val="24"/>
        </w:rPr>
        <w:t xml:space="preserve"> is the work of the </w:t>
      </w:r>
      <w:r>
        <w:rPr>
          <w:sz w:val="24"/>
          <w:szCs w:val="24"/>
        </w:rPr>
        <w:t>T</w:t>
      </w:r>
      <w:r w:rsidR="008C3E57" w:rsidRPr="00274F35">
        <w:rPr>
          <w:sz w:val="24"/>
          <w:szCs w:val="24"/>
        </w:rPr>
        <w:t xml:space="preserve">ask </w:t>
      </w:r>
      <w:r>
        <w:rPr>
          <w:sz w:val="24"/>
          <w:szCs w:val="24"/>
        </w:rPr>
        <w:t>G</w:t>
      </w:r>
      <w:r w:rsidR="008C3E57" w:rsidRPr="00274F35">
        <w:rPr>
          <w:sz w:val="24"/>
          <w:szCs w:val="24"/>
        </w:rPr>
        <w:t xml:space="preserve">roup in response to </w:t>
      </w:r>
      <w:r>
        <w:rPr>
          <w:sz w:val="24"/>
          <w:szCs w:val="24"/>
        </w:rPr>
        <w:t xml:space="preserve">the </w:t>
      </w:r>
      <w:r w:rsidR="008C3E57" w:rsidRPr="00274F35">
        <w:rPr>
          <w:sz w:val="24"/>
          <w:szCs w:val="24"/>
        </w:rPr>
        <w:t>task given to it in 2016</w:t>
      </w:r>
      <w:r>
        <w:rPr>
          <w:sz w:val="24"/>
          <w:szCs w:val="24"/>
        </w:rPr>
        <w:t>, as</w:t>
      </w:r>
      <w:r w:rsidR="008C3E57" w:rsidRPr="00274F35">
        <w:rPr>
          <w:sz w:val="24"/>
          <w:szCs w:val="24"/>
        </w:rPr>
        <w:t xml:space="preserve"> amended in 2018.</w:t>
      </w:r>
    </w:p>
    <w:sectPr w:rsidR="0013597E" w:rsidRPr="00274F35" w:rsidSect="00B80E94">
      <w:headerReference w:type="first" r:id="rId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40D2" w14:textId="77777777" w:rsidR="00E101F9" w:rsidRDefault="00E101F9" w:rsidP="0013597E">
      <w:pPr>
        <w:spacing w:after="0" w:line="240" w:lineRule="auto"/>
      </w:pPr>
      <w:r>
        <w:separator/>
      </w:r>
    </w:p>
  </w:endnote>
  <w:endnote w:type="continuationSeparator" w:id="0">
    <w:p w14:paraId="78EC8D49" w14:textId="77777777" w:rsidR="00E101F9" w:rsidRDefault="00E101F9" w:rsidP="0013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BBB29" w14:textId="77777777" w:rsidR="00E101F9" w:rsidRDefault="00E101F9" w:rsidP="0013597E">
      <w:pPr>
        <w:spacing w:after="0" w:line="240" w:lineRule="auto"/>
      </w:pPr>
      <w:r>
        <w:separator/>
      </w:r>
    </w:p>
  </w:footnote>
  <w:footnote w:type="continuationSeparator" w:id="0">
    <w:p w14:paraId="1B6AECBD" w14:textId="77777777" w:rsidR="00E101F9" w:rsidRDefault="00E101F9" w:rsidP="0013597E">
      <w:pPr>
        <w:spacing w:after="0" w:line="240" w:lineRule="auto"/>
      </w:pPr>
      <w:r>
        <w:continuationSeparator/>
      </w:r>
    </w:p>
  </w:footnote>
  <w:footnote w:id="1">
    <w:p w14:paraId="2DF61C48" w14:textId="4FB0A57C" w:rsidR="00AC6E76" w:rsidRDefault="00AC6E76" w:rsidP="00AC6E76">
      <w:pPr>
        <w:pStyle w:val="FootnoteText"/>
        <w:tabs>
          <w:tab w:val="left" w:pos="284"/>
        </w:tabs>
        <w:ind w:left="284" w:hanging="284"/>
      </w:pPr>
      <w:r>
        <w:rPr>
          <w:rStyle w:val="FootnoteReference"/>
        </w:rPr>
        <w:footnoteRef/>
      </w:r>
      <w:r>
        <w:t xml:space="preserve"> </w:t>
      </w:r>
      <w:r>
        <w:tab/>
      </w:r>
      <w:proofErr w:type="spellStart"/>
      <w:proofErr w:type="gramStart"/>
      <w:r>
        <w:t>ie</w:t>
      </w:r>
      <w:proofErr w:type="spellEnd"/>
      <w:proofErr w:type="gramEnd"/>
      <w:r>
        <w:t xml:space="preserve"> The </w:t>
      </w:r>
      <w:r w:rsidR="00BA39D1">
        <w:t xml:space="preserve">predecessor to our group with the same title. </w:t>
      </w:r>
      <w:r>
        <w:t xml:space="preserve"> </w:t>
      </w:r>
    </w:p>
  </w:footnote>
  <w:footnote w:id="2">
    <w:p w14:paraId="40378219" w14:textId="7CA7BF75" w:rsidR="00A110A3" w:rsidRDefault="00A110A3" w:rsidP="00936A0F">
      <w:pPr>
        <w:pStyle w:val="FootnoteText"/>
        <w:tabs>
          <w:tab w:val="left" w:pos="284"/>
        </w:tabs>
      </w:pPr>
      <w:r>
        <w:rPr>
          <w:rStyle w:val="FootnoteReference"/>
        </w:rPr>
        <w:footnoteRef/>
      </w:r>
      <w:r>
        <w:t xml:space="preserve">  </w:t>
      </w:r>
      <w:r w:rsidR="00936A0F">
        <w:tab/>
      </w:r>
      <w:r>
        <w:t>2014 Resolution 40/4 (b) (iii)</w:t>
      </w:r>
    </w:p>
  </w:footnote>
  <w:footnote w:id="3">
    <w:p w14:paraId="78BA01E4" w14:textId="49D04725" w:rsidR="000A3B2B" w:rsidRDefault="000A3B2B" w:rsidP="000A3B2B">
      <w:pPr>
        <w:pStyle w:val="FootnoteText"/>
        <w:tabs>
          <w:tab w:val="left" w:pos="284"/>
        </w:tabs>
      </w:pPr>
      <w:r>
        <w:rPr>
          <w:rStyle w:val="FootnoteReference"/>
        </w:rPr>
        <w:footnoteRef/>
      </w:r>
      <w:r>
        <w:t xml:space="preserve"> </w:t>
      </w:r>
      <w:r>
        <w:tab/>
        <w:t>2014 Resolution 40</w:t>
      </w:r>
      <w:r w:rsidR="00972CC5">
        <w:t xml:space="preserve">/4 </w:t>
      </w:r>
      <w:r w:rsidR="00E86A31">
        <w:t xml:space="preserve">(b) </w:t>
      </w:r>
      <w:r w:rsidR="00972CC5">
        <w:t>(iv).</w:t>
      </w:r>
    </w:p>
  </w:footnote>
  <w:footnote w:id="4">
    <w:p w14:paraId="6E5D4FA1" w14:textId="7664AB85" w:rsidR="00972CC5" w:rsidRDefault="00972CC5" w:rsidP="00972CC5">
      <w:pPr>
        <w:pStyle w:val="FootnoteText"/>
        <w:tabs>
          <w:tab w:val="left" w:pos="284"/>
        </w:tabs>
      </w:pPr>
      <w:r>
        <w:rPr>
          <w:rStyle w:val="FootnoteReference"/>
        </w:rPr>
        <w:footnoteRef/>
      </w:r>
      <w:r>
        <w:t xml:space="preserve"> </w:t>
      </w:r>
      <w:r>
        <w:tab/>
        <w:t xml:space="preserve">2014 Resolution 40/4 </w:t>
      </w:r>
      <w:r w:rsidR="00E86A31">
        <w:t xml:space="preserve">(b) </w:t>
      </w:r>
      <w:r>
        <w:t>(v).</w:t>
      </w:r>
    </w:p>
  </w:footnote>
  <w:footnote w:id="5">
    <w:p w14:paraId="6C2B5EEC" w14:textId="0B5E8510" w:rsidR="00E91FB8" w:rsidRDefault="00E91FB8" w:rsidP="005A2343">
      <w:pPr>
        <w:pStyle w:val="FootnoteText"/>
        <w:tabs>
          <w:tab w:val="left" w:pos="284"/>
        </w:tabs>
      </w:pPr>
      <w:r>
        <w:rPr>
          <w:rStyle w:val="FootnoteReference"/>
        </w:rPr>
        <w:footnoteRef/>
      </w:r>
      <w:r>
        <w:t xml:space="preserve"> </w:t>
      </w:r>
      <w:r>
        <w:tab/>
        <w:t>2014 Resolution 40/4 (b) (v</w:t>
      </w:r>
      <w:r w:rsidR="005A2343">
        <w:t>i</w:t>
      </w:r>
      <w:r>
        <w:t>).</w:t>
      </w:r>
    </w:p>
  </w:footnote>
  <w:footnote w:id="6">
    <w:p w14:paraId="56B0A035" w14:textId="43BABA52" w:rsidR="005A2343" w:rsidRDefault="005A2343" w:rsidP="005A2343">
      <w:pPr>
        <w:pStyle w:val="FootnoteText"/>
        <w:tabs>
          <w:tab w:val="left" w:pos="284"/>
        </w:tabs>
      </w:pPr>
      <w:r>
        <w:rPr>
          <w:rStyle w:val="FootnoteReference"/>
        </w:rPr>
        <w:footnoteRef/>
      </w:r>
      <w:r>
        <w:t xml:space="preserve"> </w:t>
      </w:r>
      <w:r>
        <w:tab/>
        <w:t>2014 Resolution 40/4 (b)</w:t>
      </w:r>
      <w:r w:rsidR="009C3163">
        <w:t xml:space="preserve"> (vii)</w:t>
      </w:r>
      <w:r w:rsidR="00262D88">
        <w:t xml:space="preserve"> </w:t>
      </w:r>
      <w:r w:rsidR="00C77419">
        <w:t>referring to Resolution</w:t>
      </w:r>
      <w:r w:rsidR="00262D88">
        <w:t xml:space="preserve"> 40/3</w:t>
      </w:r>
    </w:p>
  </w:footnote>
  <w:footnote w:id="7">
    <w:p w14:paraId="425B409E" w14:textId="2130D4A3" w:rsidR="009C3163" w:rsidRDefault="009C3163" w:rsidP="009C3163">
      <w:pPr>
        <w:pStyle w:val="FootnoteText"/>
        <w:tabs>
          <w:tab w:val="left" w:pos="284"/>
        </w:tabs>
      </w:pPr>
      <w:r>
        <w:rPr>
          <w:rStyle w:val="FootnoteReference"/>
        </w:rPr>
        <w:footnoteRef/>
      </w:r>
      <w:r>
        <w:t xml:space="preserve"> </w:t>
      </w:r>
      <w:r>
        <w:tab/>
        <w:t>2014 Resolution 40/4 (b) (viii).</w:t>
      </w:r>
    </w:p>
    <w:p w14:paraId="6C16A207" w14:textId="009E664B" w:rsidR="009C3163" w:rsidRDefault="009C3163" w:rsidP="009C3163">
      <w:pPr>
        <w:pStyle w:val="FootnoteText"/>
        <w:tabs>
          <w:tab w:val="left" w:pos="284"/>
        </w:tabs>
      </w:pPr>
    </w:p>
  </w:footnote>
  <w:footnote w:id="8">
    <w:p w14:paraId="05022837" w14:textId="488FC642" w:rsidR="004B30E3" w:rsidRDefault="004B30E3" w:rsidP="00BD4911">
      <w:pPr>
        <w:pStyle w:val="FootnoteText"/>
        <w:tabs>
          <w:tab w:val="left" w:pos="284"/>
        </w:tabs>
      </w:pPr>
      <w:r>
        <w:rPr>
          <w:rStyle w:val="FootnoteReference"/>
        </w:rPr>
        <w:footnoteRef/>
      </w:r>
      <w:r>
        <w:t xml:space="preserve"> </w:t>
      </w:r>
      <w:r>
        <w:tab/>
        <w:t xml:space="preserve">2016 report </w:t>
      </w:r>
      <w:r w:rsidR="00190AD6">
        <w:t>3.1.2 (b).</w:t>
      </w:r>
    </w:p>
  </w:footnote>
  <w:footnote w:id="9">
    <w:p w14:paraId="69C2F6F6" w14:textId="1F092561" w:rsidR="001140B3" w:rsidRDefault="001140B3" w:rsidP="00BD4911">
      <w:pPr>
        <w:pStyle w:val="FootnoteText"/>
        <w:tabs>
          <w:tab w:val="left" w:pos="284"/>
        </w:tabs>
      </w:pPr>
      <w:r>
        <w:rPr>
          <w:rStyle w:val="FootnoteReference"/>
        </w:rPr>
        <w:footnoteRef/>
      </w:r>
      <w:r>
        <w:t xml:space="preserve"> </w:t>
      </w:r>
      <w:r>
        <w:tab/>
        <w:t xml:space="preserve">2016 </w:t>
      </w:r>
      <w:r w:rsidR="0031214F">
        <w:t>report 3.1.2 (c).</w:t>
      </w:r>
    </w:p>
  </w:footnote>
  <w:footnote w:id="10">
    <w:p w14:paraId="7C209454" w14:textId="6365E2BB" w:rsidR="0014253E" w:rsidRDefault="0014253E" w:rsidP="00BD4911">
      <w:pPr>
        <w:pStyle w:val="FootnoteText"/>
        <w:tabs>
          <w:tab w:val="left" w:pos="284"/>
        </w:tabs>
      </w:pPr>
      <w:r>
        <w:rPr>
          <w:rStyle w:val="FootnoteReference"/>
        </w:rPr>
        <w:footnoteRef/>
      </w:r>
      <w:r>
        <w:t xml:space="preserve"> </w:t>
      </w:r>
      <w:r w:rsidR="00BD4911">
        <w:tab/>
      </w:r>
      <w:r>
        <w:t>2016 report 3.1.3 (c)</w:t>
      </w:r>
      <w:r w:rsidR="002E0867">
        <w:t>.</w:t>
      </w:r>
      <w:r>
        <w:t xml:space="preserve"> </w:t>
      </w:r>
    </w:p>
  </w:footnote>
  <w:footnote w:id="11">
    <w:p w14:paraId="11513006" w14:textId="56B81A37" w:rsidR="00B6276C" w:rsidRDefault="00B6276C" w:rsidP="00BD4911">
      <w:pPr>
        <w:pStyle w:val="FootnoteText"/>
        <w:tabs>
          <w:tab w:val="left" w:pos="284"/>
        </w:tabs>
      </w:pPr>
      <w:r>
        <w:rPr>
          <w:rStyle w:val="FootnoteReference"/>
        </w:rPr>
        <w:footnoteRef/>
      </w:r>
      <w:r>
        <w:t xml:space="preserve"> </w:t>
      </w:r>
      <w:r w:rsidR="00BD4911">
        <w:tab/>
      </w:r>
      <w:r>
        <w:t>2019 report 3.3.5</w:t>
      </w:r>
      <w:r w:rsidR="002E0867">
        <w:t>.</w:t>
      </w:r>
    </w:p>
  </w:footnote>
  <w:footnote w:id="12">
    <w:p w14:paraId="7A6297D3" w14:textId="6FD29A9A" w:rsidR="002E0867" w:rsidRDefault="002E0867" w:rsidP="00BD4911">
      <w:pPr>
        <w:pStyle w:val="FootnoteText"/>
        <w:tabs>
          <w:tab w:val="left" w:pos="284"/>
        </w:tabs>
      </w:pPr>
      <w:r>
        <w:rPr>
          <w:rStyle w:val="FootnoteReference"/>
        </w:rPr>
        <w:footnoteRef/>
      </w:r>
      <w:r>
        <w:t xml:space="preserve"> </w:t>
      </w:r>
      <w:r w:rsidR="00BD4911">
        <w:tab/>
      </w:r>
      <w:r>
        <w:t>2016 report 3.2.1.</w:t>
      </w:r>
    </w:p>
  </w:footnote>
  <w:footnote w:id="13">
    <w:p w14:paraId="43ACCD7E" w14:textId="7D81F1FD" w:rsidR="002E0867" w:rsidRDefault="002E0867" w:rsidP="00BD4911">
      <w:pPr>
        <w:pStyle w:val="FootnoteText"/>
        <w:tabs>
          <w:tab w:val="left" w:pos="284"/>
        </w:tabs>
      </w:pPr>
      <w:r>
        <w:rPr>
          <w:rStyle w:val="FootnoteReference"/>
        </w:rPr>
        <w:footnoteRef/>
      </w:r>
      <w:r>
        <w:t xml:space="preserve"> </w:t>
      </w:r>
      <w:r w:rsidR="00BD4911">
        <w:tab/>
      </w:r>
      <w:r>
        <w:t>Ibid.</w:t>
      </w:r>
    </w:p>
  </w:footnote>
  <w:footnote w:id="14">
    <w:p w14:paraId="13728D2A" w14:textId="13F81496" w:rsidR="002E0867" w:rsidRDefault="002E0867" w:rsidP="00875212">
      <w:pPr>
        <w:pStyle w:val="FootnoteText"/>
        <w:tabs>
          <w:tab w:val="left" w:pos="284"/>
        </w:tabs>
      </w:pPr>
      <w:r>
        <w:rPr>
          <w:rStyle w:val="FootnoteReference"/>
        </w:rPr>
        <w:footnoteRef/>
      </w:r>
      <w:r>
        <w:t xml:space="preserve"> </w:t>
      </w:r>
      <w:r w:rsidR="00875212">
        <w:tab/>
      </w:r>
      <w:r>
        <w:t>2019 report 2.5.</w:t>
      </w:r>
    </w:p>
  </w:footnote>
  <w:footnote w:id="15">
    <w:p w14:paraId="6B3BEF66" w14:textId="34CC3B0B" w:rsidR="00C644AF" w:rsidRDefault="00C644AF" w:rsidP="00875212">
      <w:pPr>
        <w:pStyle w:val="FootnoteText"/>
        <w:tabs>
          <w:tab w:val="left" w:pos="284"/>
        </w:tabs>
      </w:pPr>
      <w:r>
        <w:rPr>
          <w:rStyle w:val="FootnoteReference"/>
        </w:rPr>
        <w:footnoteRef/>
      </w:r>
      <w:r>
        <w:t xml:space="preserve"> </w:t>
      </w:r>
      <w:r>
        <w:tab/>
        <w:t xml:space="preserve">2016 report </w:t>
      </w:r>
      <w:r w:rsidR="00B436EC">
        <w:t>3.2.2</w:t>
      </w:r>
      <w:r w:rsidR="00727113">
        <w:t xml:space="preserve"> (a)</w:t>
      </w:r>
    </w:p>
  </w:footnote>
  <w:footnote w:id="16">
    <w:p w14:paraId="42F400AD" w14:textId="2E791666" w:rsidR="00611937" w:rsidRDefault="00611937" w:rsidP="00875212">
      <w:pPr>
        <w:pStyle w:val="FootnoteText"/>
        <w:tabs>
          <w:tab w:val="left" w:pos="284"/>
        </w:tabs>
      </w:pPr>
      <w:r>
        <w:rPr>
          <w:rStyle w:val="FootnoteReference"/>
        </w:rPr>
        <w:footnoteRef/>
      </w:r>
      <w:r>
        <w:t xml:space="preserve"> </w:t>
      </w:r>
      <w:r w:rsidR="0018533B">
        <w:tab/>
        <w:t>2016 report 3.2.2 (a)</w:t>
      </w:r>
    </w:p>
  </w:footnote>
  <w:footnote w:id="17">
    <w:p w14:paraId="17FE90BB" w14:textId="62914F7A" w:rsidR="00A75044" w:rsidRDefault="00A75044" w:rsidP="00875212">
      <w:pPr>
        <w:pStyle w:val="FootnoteText"/>
        <w:tabs>
          <w:tab w:val="left" w:pos="284"/>
        </w:tabs>
      </w:pPr>
      <w:r>
        <w:rPr>
          <w:rStyle w:val="FootnoteReference"/>
        </w:rPr>
        <w:footnoteRef/>
      </w:r>
      <w:r>
        <w:t xml:space="preserve"> </w:t>
      </w:r>
      <w:r w:rsidR="00875212">
        <w:tab/>
      </w:r>
      <w:r>
        <w:t>2019 re</w:t>
      </w:r>
      <w:r w:rsidR="00504743">
        <w:t>po</w:t>
      </w:r>
      <w:r>
        <w:t>rt 3.4</w:t>
      </w:r>
    </w:p>
  </w:footnote>
  <w:footnote w:id="18">
    <w:p w14:paraId="5AC1334A" w14:textId="4C6FEF4F" w:rsidR="007C4D31" w:rsidRDefault="007C4D31" w:rsidP="00875212">
      <w:pPr>
        <w:pStyle w:val="FootnoteText"/>
        <w:tabs>
          <w:tab w:val="left" w:pos="284"/>
        </w:tabs>
      </w:pPr>
      <w:r>
        <w:rPr>
          <w:rStyle w:val="FootnoteReference"/>
        </w:rPr>
        <w:footnoteRef/>
      </w:r>
      <w:r>
        <w:t xml:space="preserve"> </w:t>
      </w:r>
      <w:r>
        <w:tab/>
      </w:r>
      <w:r w:rsidR="009260C1">
        <w:t>2016 report 3.2.2 (b)</w:t>
      </w:r>
    </w:p>
  </w:footnote>
  <w:footnote w:id="19">
    <w:p w14:paraId="7E3CE651" w14:textId="708944E2" w:rsidR="00226677" w:rsidRDefault="00226677" w:rsidP="00875212">
      <w:pPr>
        <w:pStyle w:val="FootnoteText"/>
        <w:tabs>
          <w:tab w:val="left" w:pos="284"/>
        </w:tabs>
      </w:pPr>
      <w:r>
        <w:rPr>
          <w:rStyle w:val="FootnoteReference"/>
        </w:rPr>
        <w:footnoteRef/>
      </w:r>
      <w:r>
        <w:t xml:space="preserve"> </w:t>
      </w:r>
      <w:r w:rsidR="00875212">
        <w:tab/>
      </w:r>
      <w:r>
        <w:t>2019 1.5.</w:t>
      </w:r>
    </w:p>
  </w:footnote>
  <w:footnote w:id="20">
    <w:p w14:paraId="1B90C806" w14:textId="567B6AD2" w:rsidR="00226677" w:rsidRDefault="00226677" w:rsidP="0036568B">
      <w:pPr>
        <w:pStyle w:val="FootnoteText"/>
        <w:tabs>
          <w:tab w:val="left" w:pos="284"/>
        </w:tabs>
      </w:pPr>
      <w:r>
        <w:rPr>
          <w:rStyle w:val="FootnoteReference"/>
        </w:rPr>
        <w:footnoteRef/>
      </w:r>
      <w:r>
        <w:t xml:space="preserve"> </w:t>
      </w:r>
      <w:r w:rsidR="0036568B">
        <w:tab/>
      </w:r>
      <w:r>
        <w:t>2016 3.2.2 (b) (iii).</w:t>
      </w:r>
    </w:p>
  </w:footnote>
  <w:footnote w:id="21">
    <w:p w14:paraId="23C8896E" w14:textId="2CAFF76C" w:rsidR="005B7A49" w:rsidRDefault="005B7A49" w:rsidP="0036568B">
      <w:pPr>
        <w:pStyle w:val="FootnoteText"/>
        <w:tabs>
          <w:tab w:val="left" w:pos="284"/>
        </w:tabs>
      </w:pPr>
      <w:r>
        <w:rPr>
          <w:rStyle w:val="FootnoteReference"/>
        </w:rPr>
        <w:footnoteRef/>
      </w:r>
      <w:r>
        <w:t xml:space="preserve"> </w:t>
      </w:r>
      <w:r w:rsidR="001E0BD7">
        <w:tab/>
      </w:r>
      <w:r w:rsidR="00FC1B04">
        <w:t>2016 report 3.3.2 (</w:t>
      </w:r>
      <w:r w:rsidR="006202BD">
        <w:t>d</w:t>
      </w:r>
      <w:r w:rsidR="00FC1B04">
        <w:t>)</w:t>
      </w:r>
    </w:p>
  </w:footnote>
  <w:footnote w:id="22">
    <w:p w14:paraId="258AE096" w14:textId="00DDA0FD" w:rsidR="00DC48A8" w:rsidRDefault="00DC48A8" w:rsidP="0036568B">
      <w:pPr>
        <w:pStyle w:val="FootnoteText"/>
        <w:tabs>
          <w:tab w:val="left" w:pos="284"/>
        </w:tabs>
      </w:pPr>
      <w:r>
        <w:rPr>
          <w:rStyle w:val="FootnoteReference"/>
        </w:rPr>
        <w:footnoteRef/>
      </w:r>
      <w:r>
        <w:t xml:space="preserve"> </w:t>
      </w:r>
      <w:r w:rsidR="001E0BD7">
        <w:tab/>
      </w:r>
      <w:r>
        <w:t>2016 report 3.5.2</w:t>
      </w:r>
    </w:p>
  </w:footnote>
  <w:footnote w:id="23">
    <w:p w14:paraId="2D5C8607" w14:textId="57BDF013" w:rsidR="006202BD" w:rsidRDefault="006202BD" w:rsidP="0036568B">
      <w:pPr>
        <w:pStyle w:val="FootnoteText"/>
        <w:tabs>
          <w:tab w:val="left" w:pos="284"/>
        </w:tabs>
      </w:pPr>
      <w:r>
        <w:rPr>
          <w:rStyle w:val="FootnoteReference"/>
        </w:rPr>
        <w:footnoteRef/>
      </w:r>
      <w:r>
        <w:t xml:space="preserve"> </w:t>
      </w:r>
      <w:r w:rsidR="0036568B">
        <w:tab/>
      </w:r>
      <w:r>
        <w:t>2019 report 5.4.3</w:t>
      </w:r>
    </w:p>
  </w:footnote>
  <w:footnote w:id="24">
    <w:p w14:paraId="0DD9EFFC" w14:textId="5ABD76A2" w:rsidR="006D26FA" w:rsidRDefault="006D26FA" w:rsidP="0036568B">
      <w:pPr>
        <w:pStyle w:val="FootnoteText"/>
        <w:tabs>
          <w:tab w:val="left" w:pos="284"/>
        </w:tabs>
      </w:pPr>
      <w:r>
        <w:rPr>
          <w:rStyle w:val="FootnoteReference"/>
        </w:rPr>
        <w:footnoteRef/>
      </w:r>
      <w:r>
        <w:t xml:space="preserve"> </w:t>
      </w:r>
      <w:r>
        <w:tab/>
        <w:t>2016 report 3.3.2 (e)</w:t>
      </w:r>
    </w:p>
  </w:footnote>
  <w:footnote w:id="25">
    <w:p w14:paraId="2E40EEA8" w14:textId="5B8243A3" w:rsidR="005E645A" w:rsidRDefault="005E645A" w:rsidP="0036568B">
      <w:pPr>
        <w:pStyle w:val="FootnoteText"/>
        <w:tabs>
          <w:tab w:val="left" w:pos="284"/>
        </w:tabs>
      </w:pPr>
      <w:r>
        <w:rPr>
          <w:rStyle w:val="FootnoteReference"/>
        </w:rPr>
        <w:footnoteRef/>
      </w:r>
      <w:r>
        <w:t xml:space="preserve"> </w:t>
      </w:r>
      <w:r>
        <w:tab/>
        <w:t>2016 report 3.3.5</w:t>
      </w:r>
    </w:p>
  </w:footnote>
  <w:footnote w:id="26">
    <w:p w14:paraId="170D33EA" w14:textId="05D5EE18" w:rsidR="0056249D" w:rsidRDefault="0056249D" w:rsidP="0036568B">
      <w:pPr>
        <w:pStyle w:val="FootnoteText"/>
        <w:tabs>
          <w:tab w:val="left" w:pos="284"/>
        </w:tabs>
      </w:pPr>
      <w:r>
        <w:rPr>
          <w:rStyle w:val="FootnoteReference"/>
        </w:rPr>
        <w:footnoteRef/>
      </w:r>
      <w:r>
        <w:t xml:space="preserve"> </w:t>
      </w:r>
      <w:r>
        <w:tab/>
      </w:r>
      <w:r w:rsidR="005A5CEE">
        <w:t xml:space="preserve">2019 </w:t>
      </w:r>
      <w:r w:rsidR="00E3223B">
        <w:t xml:space="preserve">report </w:t>
      </w:r>
      <w:r w:rsidR="005A5CEE">
        <w:t>0.3.2</w:t>
      </w:r>
    </w:p>
  </w:footnote>
  <w:footnote w:id="27">
    <w:p w14:paraId="7B4EB0A1" w14:textId="496FCB15" w:rsidR="005A1A3B" w:rsidRDefault="005A1A3B" w:rsidP="005A1A3B">
      <w:pPr>
        <w:pStyle w:val="FootnoteText"/>
        <w:tabs>
          <w:tab w:val="left" w:pos="284"/>
        </w:tabs>
      </w:pPr>
      <w:r>
        <w:rPr>
          <w:rStyle w:val="FootnoteReference"/>
        </w:rPr>
        <w:footnoteRef/>
      </w:r>
      <w:r>
        <w:t xml:space="preserve"> </w:t>
      </w:r>
      <w:r>
        <w:tab/>
      </w:r>
      <w:r w:rsidR="00E3223B">
        <w:t>2016 report 3.5.1</w:t>
      </w:r>
    </w:p>
  </w:footnote>
  <w:footnote w:id="28">
    <w:p w14:paraId="197B899D" w14:textId="69677B46" w:rsidR="00D375D6" w:rsidRDefault="00D375D6" w:rsidP="00D375D6">
      <w:pPr>
        <w:pStyle w:val="FootnoteText"/>
        <w:tabs>
          <w:tab w:val="left" w:pos="284"/>
        </w:tabs>
      </w:pPr>
      <w:r>
        <w:rPr>
          <w:rStyle w:val="FootnoteReference"/>
        </w:rPr>
        <w:footnoteRef/>
      </w:r>
      <w:r>
        <w:t xml:space="preserve"> </w:t>
      </w:r>
      <w:r>
        <w:tab/>
        <w:t xml:space="preserve">2016 report </w:t>
      </w:r>
      <w:r w:rsidR="000A4974">
        <w:t>3.5.2</w:t>
      </w:r>
    </w:p>
  </w:footnote>
  <w:footnote w:id="29">
    <w:p w14:paraId="599DB9E2" w14:textId="6EE933B1" w:rsidR="006A2F56" w:rsidRDefault="006A2F56" w:rsidP="006A2F56">
      <w:pPr>
        <w:pStyle w:val="FootnoteText"/>
        <w:tabs>
          <w:tab w:val="left" w:pos="284"/>
        </w:tabs>
      </w:pPr>
      <w:r>
        <w:rPr>
          <w:rStyle w:val="FootnoteReference"/>
        </w:rPr>
        <w:footnoteRef/>
      </w:r>
      <w:r>
        <w:t xml:space="preserve"> </w:t>
      </w:r>
      <w:r>
        <w:tab/>
        <w:t xml:space="preserve">2016 report </w:t>
      </w:r>
      <w:r w:rsidR="000A4974">
        <w:t>3.5.3</w:t>
      </w:r>
    </w:p>
  </w:footnote>
  <w:footnote w:id="30">
    <w:p w14:paraId="009AE4A1" w14:textId="68231118" w:rsidR="001A1115" w:rsidRDefault="001A1115" w:rsidP="008F54DF">
      <w:pPr>
        <w:pStyle w:val="FootnoteText"/>
        <w:tabs>
          <w:tab w:val="left" w:pos="284"/>
        </w:tabs>
      </w:pPr>
      <w:r>
        <w:rPr>
          <w:rStyle w:val="FootnoteReference"/>
        </w:rPr>
        <w:footnoteRef/>
      </w:r>
      <w:r>
        <w:t xml:space="preserve"> </w:t>
      </w:r>
      <w:r>
        <w:tab/>
        <w:t>2016 report 3.6.2</w:t>
      </w:r>
    </w:p>
  </w:footnote>
  <w:footnote w:id="31">
    <w:p w14:paraId="5BB3F719" w14:textId="2A7B615C" w:rsidR="006E68BB" w:rsidRDefault="006E68BB" w:rsidP="008F54DF">
      <w:pPr>
        <w:pStyle w:val="FootnoteText"/>
        <w:tabs>
          <w:tab w:val="left" w:pos="284"/>
        </w:tabs>
      </w:pPr>
      <w:r>
        <w:rPr>
          <w:rStyle w:val="FootnoteReference"/>
        </w:rPr>
        <w:footnoteRef/>
      </w:r>
      <w:r>
        <w:t xml:space="preserve"> </w:t>
      </w:r>
      <w:r>
        <w:tab/>
        <w:t>2016 report 3.6.4 (a)</w:t>
      </w:r>
    </w:p>
  </w:footnote>
  <w:footnote w:id="32">
    <w:p w14:paraId="30089170" w14:textId="750F2489" w:rsidR="00E813CF" w:rsidRDefault="00E813CF" w:rsidP="008F54DF">
      <w:pPr>
        <w:pStyle w:val="FootnoteText"/>
        <w:tabs>
          <w:tab w:val="left" w:pos="284"/>
        </w:tabs>
      </w:pPr>
      <w:r>
        <w:rPr>
          <w:rStyle w:val="FootnoteReference"/>
        </w:rPr>
        <w:footnoteRef/>
      </w:r>
      <w:r>
        <w:t xml:space="preserve"> </w:t>
      </w:r>
      <w:r w:rsidR="008F54DF">
        <w:tab/>
      </w:r>
      <w:r>
        <w:t>2016 report 3.6.4 (a)</w:t>
      </w:r>
    </w:p>
  </w:footnote>
  <w:footnote w:id="33">
    <w:p w14:paraId="76348B1A" w14:textId="60F9A137" w:rsidR="00A869D5" w:rsidRDefault="00A869D5" w:rsidP="008F54DF">
      <w:pPr>
        <w:pStyle w:val="FootnoteText"/>
        <w:tabs>
          <w:tab w:val="left" w:pos="284"/>
        </w:tabs>
      </w:pPr>
      <w:r>
        <w:rPr>
          <w:rStyle w:val="FootnoteReference"/>
        </w:rPr>
        <w:footnoteRef/>
      </w:r>
      <w:r>
        <w:t xml:space="preserve"> </w:t>
      </w:r>
      <w:r w:rsidR="008F54DF">
        <w:tab/>
      </w:r>
      <w:r>
        <w:t>2019 3.2.6.</w:t>
      </w:r>
    </w:p>
  </w:footnote>
  <w:footnote w:id="34">
    <w:p w14:paraId="61B66778" w14:textId="56610089" w:rsidR="00DE3B80" w:rsidRDefault="00DE3B80" w:rsidP="008F54DF">
      <w:pPr>
        <w:pStyle w:val="FootnoteText"/>
        <w:tabs>
          <w:tab w:val="left" w:pos="284"/>
        </w:tabs>
      </w:pPr>
      <w:r>
        <w:rPr>
          <w:rStyle w:val="FootnoteReference"/>
        </w:rPr>
        <w:footnoteRef/>
      </w:r>
      <w:r>
        <w:t xml:space="preserve"> </w:t>
      </w:r>
      <w:r>
        <w:tab/>
        <w:t>2016 report 3.</w:t>
      </w:r>
      <w:r w:rsidR="00851EA6">
        <w:t>6.4 (b)</w:t>
      </w:r>
    </w:p>
  </w:footnote>
  <w:footnote w:id="35">
    <w:p w14:paraId="1B1780EF" w14:textId="63AAA826" w:rsidR="006B196F" w:rsidRDefault="006B196F" w:rsidP="008F54DF">
      <w:pPr>
        <w:pStyle w:val="FootnoteText"/>
        <w:tabs>
          <w:tab w:val="left" w:pos="284"/>
        </w:tabs>
      </w:pPr>
      <w:r>
        <w:rPr>
          <w:rStyle w:val="FootnoteReference"/>
        </w:rPr>
        <w:footnoteRef/>
      </w:r>
      <w:r>
        <w:t xml:space="preserve"> </w:t>
      </w:r>
      <w:r w:rsidR="008F54DF">
        <w:tab/>
      </w:r>
      <w:r>
        <w:t>2019 3.1.6 &amp; 5.2</w:t>
      </w:r>
    </w:p>
  </w:footnote>
  <w:footnote w:id="36">
    <w:p w14:paraId="11F89896" w14:textId="6F41CD23" w:rsidR="00851EA6" w:rsidRDefault="00851EA6" w:rsidP="008F54DF">
      <w:pPr>
        <w:pStyle w:val="FootnoteText"/>
        <w:tabs>
          <w:tab w:val="left" w:pos="284"/>
        </w:tabs>
      </w:pPr>
      <w:r>
        <w:rPr>
          <w:rStyle w:val="FootnoteReference"/>
        </w:rPr>
        <w:footnoteRef/>
      </w:r>
      <w:r>
        <w:t xml:space="preserve"> </w:t>
      </w:r>
      <w:r>
        <w:tab/>
        <w:t>2016 report 3.6.5</w:t>
      </w:r>
    </w:p>
  </w:footnote>
  <w:footnote w:id="37">
    <w:p w14:paraId="12D2518B" w14:textId="58F86D0B" w:rsidR="007A7CF4" w:rsidRDefault="007A7CF4" w:rsidP="008F54DF">
      <w:pPr>
        <w:pStyle w:val="FootnoteText"/>
        <w:tabs>
          <w:tab w:val="left" w:pos="284"/>
        </w:tabs>
      </w:pPr>
      <w:r>
        <w:rPr>
          <w:rStyle w:val="FootnoteReference"/>
        </w:rPr>
        <w:footnoteRef/>
      </w:r>
      <w:r>
        <w:t xml:space="preserve"> </w:t>
      </w:r>
      <w:r>
        <w:tab/>
        <w:t>2016 report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620D" w14:textId="681811F2" w:rsidR="00B80E94" w:rsidRDefault="00B80E94" w:rsidP="00B80E94">
    <w:pPr>
      <w:pStyle w:val="Header"/>
      <w:jc w:val="right"/>
    </w:pPr>
    <w:r>
      <w:rPr>
        <w:b/>
        <w:sz w:val="28"/>
        <w:szCs w:val="28"/>
      </w:rPr>
      <w:t>GOD IN LOVE UNITES US: ANCILLARY PAPER 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3A3"/>
    <w:multiLevelType w:val="hybridMultilevel"/>
    <w:tmpl w:val="4532E53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362143F8"/>
    <w:multiLevelType w:val="hybridMultilevel"/>
    <w:tmpl w:val="96687F14"/>
    <w:lvl w:ilvl="0" w:tplc="C262E636">
      <w:start w:val="1"/>
      <w:numFmt w:val="decimal"/>
      <w:lvlText w:val="A%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 w15:restartNumberingAfterBreak="0">
    <w:nsid w:val="6A034BBA"/>
    <w:multiLevelType w:val="hybridMultilevel"/>
    <w:tmpl w:val="850462CA"/>
    <w:lvl w:ilvl="0" w:tplc="75F01C2E">
      <w:numFmt w:val="bullet"/>
      <w:lvlText w:val="-"/>
      <w:lvlJc w:val="left"/>
      <w:pPr>
        <w:ind w:left="1854" w:hanging="360"/>
      </w:pPr>
      <w:rPr>
        <w:rFonts w:ascii="Calibri" w:eastAsiaTheme="minorHAns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7E"/>
    <w:rsid w:val="000031B9"/>
    <w:rsid w:val="00005538"/>
    <w:rsid w:val="00006126"/>
    <w:rsid w:val="00024254"/>
    <w:rsid w:val="00024679"/>
    <w:rsid w:val="00035823"/>
    <w:rsid w:val="0003655D"/>
    <w:rsid w:val="00040EC0"/>
    <w:rsid w:val="0005277F"/>
    <w:rsid w:val="00060FFC"/>
    <w:rsid w:val="00087360"/>
    <w:rsid w:val="000A3B2B"/>
    <w:rsid w:val="000A4974"/>
    <w:rsid w:val="000A5CC6"/>
    <w:rsid w:val="000B6906"/>
    <w:rsid w:val="000C541E"/>
    <w:rsid w:val="000E07E5"/>
    <w:rsid w:val="000E10DC"/>
    <w:rsid w:val="000E2898"/>
    <w:rsid w:val="000E527A"/>
    <w:rsid w:val="000F3B30"/>
    <w:rsid w:val="00110253"/>
    <w:rsid w:val="001140B3"/>
    <w:rsid w:val="00115CE1"/>
    <w:rsid w:val="00127917"/>
    <w:rsid w:val="0013597E"/>
    <w:rsid w:val="001419E1"/>
    <w:rsid w:val="0014253E"/>
    <w:rsid w:val="00145DCC"/>
    <w:rsid w:val="00146FCF"/>
    <w:rsid w:val="0015237B"/>
    <w:rsid w:val="0018533B"/>
    <w:rsid w:val="00190AD6"/>
    <w:rsid w:val="001A1115"/>
    <w:rsid w:val="001C18F4"/>
    <w:rsid w:val="001E0BD7"/>
    <w:rsid w:val="001E22B6"/>
    <w:rsid w:val="00210F97"/>
    <w:rsid w:val="00223BFF"/>
    <w:rsid w:val="00226677"/>
    <w:rsid w:val="002336C1"/>
    <w:rsid w:val="00241789"/>
    <w:rsid w:val="002475E0"/>
    <w:rsid w:val="00262D88"/>
    <w:rsid w:val="002671EF"/>
    <w:rsid w:val="00274F35"/>
    <w:rsid w:val="002A5988"/>
    <w:rsid w:val="002E0672"/>
    <w:rsid w:val="002E0867"/>
    <w:rsid w:val="002E5E7A"/>
    <w:rsid w:val="002F19EA"/>
    <w:rsid w:val="0030130A"/>
    <w:rsid w:val="0031214F"/>
    <w:rsid w:val="00313593"/>
    <w:rsid w:val="00320910"/>
    <w:rsid w:val="0036568B"/>
    <w:rsid w:val="00386C13"/>
    <w:rsid w:val="0038734B"/>
    <w:rsid w:val="003944BD"/>
    <w:rsid w:val="003947B2"/>
    <w:rsid w:val="0040737D"/>
    <w:rsid w:val="00412F8B"/>
    <w:rsid w:val="00417C7E"/>
    <w:rsid w:val="00421957"/>
    <w:rsid w:val="00425F8E"/>
    <w:rsid w:val="00426DC3"/>
    <w:rsid w:val="00434ADA"/>
    <w:rsid w:val="00437B73"/>
    <w:rsid w:val="00440489"/>
    <w:rsid w:val="00441A06"/>
    <w:rsid w:val="00453493"/>
    <w:rsid w:val="00453FB4"/>
    <w:rsid w:val="004545F5"/>
    <w:rsid w:val="00454DBF"/>
    <w:rsid w:val="00466D1B"/>
    <w:rsid w:val="0047613E"/>
    <w:rsid w:val="00483154"/>
    <w:rsid w:val="004865E4"/>
    <w:rsid w:val="004B30E3"/>
    <w:rsid w:val="004B54C6"/>
    <w:rsid w:val="00504743"/>
    <w:rsid w:val="0050704F"/>
    <w:rsid w:val="00510174"/>
    <w:rsid w:val="00510627"/>
    <w:rsid w:val="00523599"/>
    <w:rsid w:val="00534833"/>
    <w:rsid w:val="00537B10"/>
    <w:rsid w:val="0056249D"/>
    <w:rsid w:val="005846F2"/>
    <w:rsid w:val="0058773A"/>
    <w:rsid w:val="005A1A3B"/>
    <w:rsid w:val="005A2343"/>
    <w:rsid w:val="005A3643"/>
    <w:rsid w:val="005A5CEE"/>
    <w:rsid w:val="005B44E9"/>
    <w:rsid w:val="005B7A49"/>
    <w:rsid w:val="005C6D09"/>
    <w:rsid w:val="005D0C82"/>
    <w:rsid w:val="005D421F"/>
    <w:rsid w:val="005E645A"/>
    <w:rsid w:val="00607705"/>
    <w:rsid w:val="00611937"/>
    <w:rsid w:val="006202BD"/>
    <w:rsid w:val="00622101"/>
    <w:rsid w:val="006406AF"/>
    <w:rsid w:val="00641FB6"/>
    <w:rsid w:val="00651336"/>
    <w:rsid w:val="00656D15"/>
    <w:rsid w:val="0066721C"/>
    <w:rsid w:val="006904E4"/>
    <w:rsid w:val="00692042"/>
    <w:rsid w:val="00692E73"/>
    <w:rsid w:val="006A2F56"/>
    <w:rsid w:val="006B196F"/>
    <w:rsid w:val="006C0E1A"/>
    <w:rsid w:val="006C5C85"/>
    <w:rsid w:val="006C691B"/>
    <w:rsid w:val="006C6992"/>
    <w:rsid w:val="006D26FA"/>
    <w:rsid w:val="006E68BB"/>
    <w:rsid w:val="00727113"/>
    <w:rsid w:val="007312D8"/>
    <w:rsid w:val="00743969"/>
    <w:rsid w:val="00756DD9"/>
    <w:rsid w:val="00782FD6"/>
    <w:rsid w:val="00784B74"/>
    <w:rsid w:val="007A669C"/>
    <w:rsid w:val="007A7CF4"/>
    <w:rsid w:val="007B3C6C"/>
    <w:rsid w:val="007C4D31"/>
    <w:rsid w:val="00801E27"/>
    <w:rsid w:val="00821AE2"/>
    <w:rsid w:val="00840CC1"/>
    <w:rsid w:val="00851EA6"/>
    <w:rsid w:val="00866B9B"/>
    <w:rsid w:val="00875212"/>
    <w:rsid w:val="008851C5"/>
    <w:rsid w:val="008A0624"/>
    <w:rsid w:val="008A22DC"/>
    <w:rsid w:val="008B59A3"/>
    <w:rsid w:val="008C3415"/>
    <w:rsid w:val="008C3E57"/>
    <w:rsid w:val="008E5695"/>
    <w:rsid w:val="008F54DF"/>
    <w:rsid w:val="009260C1"/>
    <w:rsid w:val="00936A0F"/>
    <w:rsid w:val="00962224"/>
    <w:rsid w:val="009729F9"/>
    <w:rsid w:val="00972CC5"/>
    <w:rsid w:val="009A5BEB"/>
    <w:rsid w:val="009C3163"/>
    <w:rsid w:val="009E5CDE"/>
    <w:rsid w:val="009F09DF"/>
    <w:rsid w:val="009F4419"/>
    <w:rsid w:val="00A1036D"/>
    <w:rsid w:val="00A110A3"/>
    <w:rsid w:val="00A20A2C"/>
    <w:rsid w:val="00A2441C"/>
    <w:rsid w:val="00A259B0"/>
    <w:rsid w:val="00A32EFA"/>
    <w:rsid w:val="00A423A3"/>
    <w:rsid w:val="00A54601"/>
    <w:rsid w:val="00A72F55"/>
    <w:rsid w:val="00A75044"/>
    <w:rsid w:val="00A8551A"/>
    <w:rsid w:val="00A869D5"/>
    <w:rsid w:val="00AB424E"/>
    <w:rsid w:val="00AB47E7"/>
    <w:rsid w:val="00AC6E76"/>
    <w:rsid w:val="00AD546B"/>
    <w:rsid w:val="00B01825"/>
    <w:rsid w:val="00B1092B"/>
    <w:rsid w:val="00B3228F"/>
    <w:rsid w:val="00B436EC"/>
    <w:rsid w:val="00B45839"/>
    <w:rsid w:val="00B6276C"/>
    <w:rsid w:val="00B63D1B"/>
    <w:rsid w:val="00B75531"/>
    <w:rsid w:val="00B773B8"/>
    <w:rsid w:val="00B80E94"/>
    <w:rsid w:val="00B87848"/>
    <w:rsid w:val="00B91B74"/>
    <w:rsid w:val="00BA39D1"/>
    <w:rsid w:val="00BB4B1C"/>
    <w:rsid w:val="00BB569A"/>
    <w:rsid w:val="00BC6E07"/>
    <w:rsid w:val="00BC7FC5"/>
    <w:rsid w:val="00BD135A"/>
    <w:rsid w:val="00BD4911"/>
    <w:rsid w:val="00BE69E5"/>
    <w:rsid w:val="00C01236"/>
    <w:rsid w:val="00C644AF"/>
    <w:rsid w:val="00C67905"/>
    <w:rsid w:val="00C77419"/>
    <w:rsid w:val="00CA1444"/>
    <w:rsid w:val="00CB4A43"/>
    <w:rsid w:val="00CB6669"/>
    <w:rsid w:val="00CC3CDE"/>
    <w:rsid w:val="00CC4E29"/>
    <w:rsid w:val="00CE358E"/>
    <w:rsid w:val="00D34250"/>
    <w:rsid w:val="00D375D6"/>
    <w:rsid w:val="00D459CC"/>
    <w:rsid w:val="00D8580D"/>
    <w:rsid w:val="00DC0BD2"/>
    <w:rsid w:val="00DC32D0"/>
    <w:rsid w:val="00DC48A8"/>
    <w:rsid w:val="00DD562F"/>
    <w:rsid w:val="00DE3B80"/>
    <w:rsid w:val="00E06028"/>
    <w:rsid w:val="00E0710A"/>
    <w:rsid w:val="00E101F9"/>
    <w:rsid w:val="00E1433C"/>
    <w:rsid w:val="00E3223B"/>
    <w:rsid w:val="00E52737"/>
    <w:rsid w:val="00E566FB"/>
    <w:rsid w:val="00E602B5"/>
    <w:rsid w:val="00E6322B"/>
    <w:rsid w:val="00E73957"/>
    <w:rsid w:val="00E813CF"/>
    <w:rsid w:val="00E86A31"/>
    <w:rsid w:val="00E91FB8"/>
    <w:rsid w:val="00EA3A46"/>
    <w:rsid w:val="00EA5061"/>
    <w:rsid w:val="00EC218A"/>
    <w:rsid w:val="00ED2B18"/>
    <w:rsid w:val="00EF7ED9"/>
    <w:rsid w:val="00F21147"/>
    <w:rsid w:val="00F65D1A"/>
    <w:rsid w:val="00FA5943"/>
    <w:rsid w:val="00FB4A2F"/>
    <w:rsid w:val="00FC1B04"/>
    <w:rsid w:val="00FD209F"/>
    <w:rsid w:val="00FD3452"/>
    <w:rsid w:val="00FE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A94F"/>
  <w15:chartTrackingRefBased/>
  <w15:docId w15:val="{FA2DF66B-94AE-4A4F-89E1-59F1EAF2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97E"/>
    <w:rPr>
      <w:sz w:val="20"/>
      <w:szCs w:val="20"/>
    </w:rPr>
  </w:style>
  <w:style w:type="character" w:styleId="FootnoteReference">
    <w:name w:val="footnote reference"/>
    <w:uiPriority w:val="99"/>
    <w:semiHidden/>
    <w:rsid w:val="0013597E"/>
    <w:rPr>
      <w:rFonts w:cs="Times New Roman"/>
      <w:vertAlign w:val="superscript"/>
    </w:rPr>
  </w:style>
  <w:style w:type="character" w:styleId="Hyperlink">
    <w:name w:val="Hyperlink"/>
    <w:basedOn w:val="DefaultParagraphFont"/>
    <w:uiPriority w:val="99"/>
    <w:unhideWhenUsed/>
    <w:rsid w:val="0013597E"/>
    <w:rPr>
      <w:color w:val="0563C1" w:themeColor="hyperlink"/>
      <w:u w:val="single"/>
    </w:rPr>
  </w:style>
  <w:style w:type="paragraph" w:styleId="Header">
    <w:name w:val="header"/>
    <w:basedOn w:val="Normal"/>
    <w:link w:val="HeaderChar"/>
    <w:uiPriority w:val="99"/>
    <w:unhideWhenUsed/>
    <w:rsid w:val="00135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7E"/>
  </w:style>
  <w:style w:type="paragraph" w:styleId="Footer">
    <w:name w:val="footer"/>
    <w:basedOn w:val="Normal"/>
    <w:link w:val="FooterChar"/>
    <w:uiPriority w:val="99"/>
    <w:unhideWhenUsed/>
    <w:rsid w:val="00135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7E"/>
  </w:style>
  <w:style w:type="character" w:styleId="FollowedHyperlink">
    <w:name w:val="FollowedHyperlink"/>
    <w:basedOn w:val="DefaultParagraphFont"/>
    <w:uiPriority w:val="99"/>
    <w:semiHidden/>
    <w:unhideWhenUsed/>
    <w:rsid w:val="005846F2"/>
    <w:rPr>
      <w:color w:val="954F72" w:themeColor="followedHyperlink"/>
      <w:u w:val="single"/>
    </w:rPr>
  </w:style>
  <w:style w:type="paragraph" w:styleId="ListParagraph">
    <w:name w:val="List Paragraph"/>
    <w:basedOn w:val="Normal"/>
    <w:uiPriority w:val="34"/>
    <w:qFormat/>
    <w:rsid w:val="004545F5"/>
    <w:pPr>
      <w:ind w:left="720"/>
      <w:contextualSpacing/>
    </w:pPr>
  </w:style>
  <w:style w:type="character" w:styleId="CommentReference">
    <w:name w:val="annotation reference"/>
    <w:basedOn w:val="DefaultParagraphFont"/>
    <w:uiPriority w:val="99"/>
    <w:semiHidden/>
    <w:unhideWhenUsed/>
    <w:rsid w:val="006202BD"/>
    <w:rPr>
      <w:sz w:val="16"/>
      <w:szCs w:val="16"/>
    </w:rPr>
  </w:style>
  <w:style w:type="paragraph" w:styleId="CommentText">
    <w:name w:val="annotation text"/>
    <w:basedOn w:val="Normal"/>
    <w:link w:val="CommentTextChar"/>
    <w:uiPriority w:val="99"/>
    <w:semiHidden/>
    <w:unhideWhenUsed/>
    <w:rsid w:val="006202BD"/>
    <w:pPr>
      <w:spacing w:line="240" w:lineRule="auto"/>
    </w:pPr>
    <w:rPr>
      <w:sz w:val="20"/>
      <w:szCs w:val="20"/>
    </w:rPr>
  </w:style>
  <w:style w:type="character" w:customStyle="1" w:styleId="CommentTextChar">
    <w:name w:val="Comment Text Char"/>
    <w:basedOn w:val="DefaultParagraphFont"/>
    <w:link w:val="CommentText"/>
    <w:uiPriority w:val="99"/>
    <w:semiHidden/>
    <w:rsid w:val="006202BD"/>
    <w:rPr>
      <w:sz w:val="20"/>
      <w:szCs w:val="20"/>
    </w:rPr>
  </w:style>
  <w:style w:type="paragraph" w:styleId="CommentSubject">
    <w:name w:val="annotation subject"/>
    <w:basedOn w:val="CommentText"/>
    <w:next w:val="CommentText"/>
    <w:link w:val="CommentSubjectChar"/>
    <w:uiPriority w:val="99"/>
    <w:semiHidden/>
    <w:unhideWhenUsed/>
    <w:rsid w:val="006202BD"/>
    <w:rPr>
      <w:b/>
      <w:bCs/>
    </w:rPr>
  </w:style>
  <w:style w:type="character" w:customStyle="1" w:styleId="CommentSubjectChar">
    <w:name w:val="Comment Subject Char"/>
    <w:basedOn w:val="CommentTextChar"/>
    <w:link w:val="CommentSubject"/>
    <w:uiPriority w:val="99"/>
    <w:semiHidden/>
    <w:rsid w:val="006202BD"/>
    <w:rPr>
      <w:b/>
      <w:bCs/>
      <w:sz w:val="20"/>
      <w:szCs w:val="20"/>
    </w:rPr>
  </w:style>
  <w:style w:type="paragraph" w:styleId="Revision">
    <w:name w:val="Revision"/>
    <w:hidden/>
    <w:uiPriority w:val="99"/>
    <w:semiHidden/>
    <w:rsid w:val="006202BD"/>
    <w:pPr>
      <w:spacing w:after="0" w:line="240" w:lineRule="auto"/>
    </w:pPr>
  </w:style>
  <w:style w:type="paragraph" w:styleId="BalloonText">
    <w:name w:val="Balloon Text"/>
    <w:basedOn w:val="Normal"/>
    <w:link w:val="BalloonTextChar"/>
    <w:uiPriority w:val="99"/>
    <w:semiHidden/>
    <w:unhideWhenUsed/>
    <w:rsid w:val="0062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BD"/>
    <w:rPr>
      <w:rFonts w:ascii="Segoe UI" w:hAnsi="Segoe UI" w:cs="Segoe UI"/>
      <w:sz w:val="18"/>
      <w:szCs w:val="18"/>
    </w:rPr>
  </w:style>
  <w:style w:type="paragraph" w:customStyle="1" w:styleId="Default">
    <w:name w:val="Default"/>
    <w:rsid w:val="0069204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6">
    <w:name w:val="Pa6"/>
    <w:basedOn w:val="Default"/>
    <w:next w:val="Default"/>
    <w:uiPriority w:val="99"/>
    <w:rsid w:val="00692042"/>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4504">
      <w:bodyDiv w:val="1"/>
      <w:marLeft w:val="0"/>
      <w:marRight w:val="0"/>
      <w:marTop w:val="0"/>
      <w:marBottom w:val="0"/>
      <w:divBdr>
        <w:top w:val="none" w:sz="0" w:space="0" w:color="auto"/>
        <w:left w:val="none" w:sz="0" w:space="0" w:color="auto"/>
        <w:bottom w:val="none" w:sz="0" w:space="0" w:color="auto"/>
        <w:right w:val="none" w:sz="0" w:space="0" w:color="auto"/>
      </w:divBdr>
    </w:div>
    <w:div w:id="358622912">
      <w:bodyDiv w:val="1"/>
      <w:marLeft w:val="0"/>
      <w:marRight w:val="0"/>
      <w:marTop w:val="0"/>
      <w:marBottom w:val="0"/>
      <w:divBdr>
        <w:top w:val="none" w:sz="0" w:space="0" w:color="auto"/>
        <w:left w:val="none" w:sz="0" w:space="0" w:color="auto"/>
        <w:bottom w:val="none" w:sz="0" w:space="0" w:color="auto"/>
        <w:right w:val="none" w:sz="0" w:space="0" w:color="auto"/>
      </w:divBdr>
    </w:div>
    <w:div w:id="534387293">
      <w:bodyDiv w:val="1"/>
      <w:marLeft w:val="0"/>
      <w:marRight w:val="0"/>
      <w:marTop w:val="0"/>
      <w:marBottom w:val="0"/>
      <w:divBdr>
        <w:top w:val="none" w:sz="0" w:space="0" w:color="auto"/>
        <w:left w:val="none" w:sz="0" w:space="0" w:color="auto"/>
        <w:bottom w:val="none" w:sz="0" w:space="0" w:color="auto"/>
        <w:right w:val="none" w:sz="0" w:space="0" w:color="auto"/>
      </w:divBdr>
    </w:div>
    <w:div w:id="751312401">
      <w:bodyDiv w:val="1"/>
      <w:marLeft w:val="0"/>
      <w:marRight w:val="0"/>
      <w:marTop w:val="0"/>
      <w:marBottom w:val="0"/>
      <w:divBdr>
        <w:top w:val="none" w:sz="0" w:space="0" w:color="auto"/>
        <w:left w:val="none" w:sz="0" w:space="0" w:color="auto"/>
        <w:bottom w:val="none" w:sz="0" w:space="0" w:color="auto"/>
        <w:right w:val="none" w:sz="0" w:space="0" w:color="auto"/>
      </w:divBdr>
    </w:div>
    <w:div w:id="998575638">
      <w:bodyDiv w:val="1"/>
      <w:marLeft w:val="0"/>
      <w:marRight w:val="0"/>
      <w:marTop w:val="0"/>
      <w:marBottom w:val="0"/>
      <w:divBdr>
        <w:top w:val="none" w:sz="0" w:space="0" w:color="auto"/>
        <w:left w:val="none" w:sz="0" w:space="0" w:color="auto"/>
        <w:bottom w:val="none" w:sz="0" w:space="0" w:color="auto"/>
        <w:right w:val="none" w:sz="0" w:space="0" w:color="auto"/>
      </w:divBdr>
    </w:div>
    <w:div w:id="1028529571">
      <w:bodyDiv w:val="1"/>
      <w:marLeft w:val="0"/>
      <w:marRight w:val="0"/>
      <w:marTop w:val="0"/>
      <w:marBottom w:val="0"/>
      <w:divBdr>
        <w:top w:val="none" w:sz="0" w:space="0" w:color="auto"/>
        <w:left w:val="none" w:sz="0" w:space="0" w:color="auto"/>
        <w:bottom w:val="none" w:sz="0" w:space="0" w:color="auto"/>
        <w:right w:val="none" w:sz="0" w:space="0" w:color="auto"/>
      </w:divBdr>
    </w:div>
    <w:div w:id="1588536480">
      <w:bodyDiv w:val="1"/>
      <w:marLeft w:val="0"/>
      <w:marRight w:val="0"/>
      <w:marTop w:val="0"/>
      <w:marBottom w:val="0"/>
      <w:divBdr>
        <w:top w:val="none" w:sz="0" w:space="0" w:color="auto"/>
        <w:left w:val="none" w:sz="0" w:space="0" w:color="auto"/>
        <w:bottom w:val="none" w:sz="0" w:space="0" w:color="auto"/>
        <w:right w:val="none" w:sz="0" w:space="0" w:color="auto"/>
      </w:divBdr>
    </w:div>
    <w:div w:id="1622806444">
      <w:bodyDiv w:val="1"/>
      <w:marLeft w:val="0"/>
      <w:marRight w:val="0"/>
      <w:marTop w:val="0"/>
      <w:marBottom w:val="0"/>
      <w:divBdr>
        <w:top w:val="none" w:sz="0" w:space="0" w:color="auto"/>
        <w:left w:val="none" w:sz="0" w:space="0" w:color="auto"/>
        <w:bottom w:val="none" w:sz="0" w:space="0" w:color="auto"/>
        <w:right w:val="none" w:sz="0" w:space="0" w:color="auto"/>
      </w:divBdr>
    </w:div>
    <w:div w:id="1899433007">
      <w:bodyDiv w:val="1"/>
      <w:marLeft w:val="0"/>
      <w:marRight w:val="0"/>
      <w:marTop w:val="0"/>
      <w:marBottom w:val="0"/>
      <w:divBdr>
        <w:top w:val="none" w:sz="0" w:space="0" w:color="auto"/>
        <w:left w:val="none" w:sz="0" w:space="0" w:color="auto"/>
        <w:bottom w:val="none" w:sz="0" w:space="0" w:color="auto"/>
        <w:right w:val="none" w:sz="0" w:space="0" w:color="auto"/>
      </w:divBdr>
    </w:div>
    <w:div w:id="2001157989">
      <w:bodyDiv w:val="1"/>
      <w:marLeft w:val="0"/>
      <w:marRight w:val="0"/>
      <w:marTop w:val="0"/>
      <w:marBottom w:val="0"/>
      <w:divBdr>
        <w:top w:val="none" w:sz="0" w:space="0" w:color="auto"/>
        <w:left w:val="none" w:sz="0" w:space="0" w:color="auto"/>
        <w:bottom w:val="none" w:sz="0" w:space="0" w:color="auto"/>
        <w:right w:val="none" w:sz="0" w:space="0" w:color="auto"/>
      </w:divBdr>
    </w:div>
    <w:div w:id="2100324569">
      <w:bodyDiv w:val="1"/>
      <w:marLeft w:val="0"/>
      <w:marRight w:val="0"/>
      <w:marTop w:val="0"/>
      <w:marBottom w:val="0"/>
      <w:divBdr>
        <w:top w:val="none" w:sz="0" w:space="0" w:color="auto"/>
        <w:left w:val="none" w:sz="0" w:space="0" w:color="auto"/>
        <w:bottom w:val="none" w:sz="0" w:space="0" w:color="auto"/>
        <w:right w:val="none" w:sz="0" w:space="0" w:color="auto"/>
      </w:divBdr>
    </w:div>
    <w:div w:id="21443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MandR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2C50-3EA2-433C-B264-8FE1F8EE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Howcroft</dc:creator>
  <cp:keywords/>
  <dc:description/>
  <cp:lastModifiedBy>David Webster</cp:lastModifiedBy>
  <cp:revision>17</cp:revision>
  <dcterms:created xsi:type="dcterms:W3CDTF">2019-05-10T15:25:00Z</dcterms:created>
  <dcterms:modified xsi:type="dcterms:W3CDTF">2019-05-14T08:36:00Z</dcterms:modified>
</cp:coreProperties>
</file>