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2F" w:rsidRPr="00EC18A2" w:rsidRDefault="006D53A3" w:rsidP="008006EB">
      <w:pPr>
        <w:pStyle w:val="text"/>
        <w:rPr>
          <w:b/>
          <w:i/>
          <w:u w:val="single"/>
        </w:rPr>
      </w:pPr>
      <w:r w:rsidRPr="00EC18A2">
        <w:rPr>
          <w:b/>
          <w:i/>
          <w:noProof/>
          <w:u w:val="single"/>
          <w:lang w:eastAsia="en-GB"/>
        </w:rPr>
        <w:pict>
          <v:shapetype id="_x0000_t202" coordsize="21600,21600" o:spt="202" path="m,l,21600r21600,l21600,xe">
            <v:stroke joinstyle="miter"/>
            <v:path gradientshapeok="t" o:connecttype="rect"/>
          </v:shapetype>
          <v:shape id="_x0000_s1026" type="#_x0000_t202" style="position:absolute;left:0;text-align:left;margin-left:375.35pt;margin-top:-9.55pt;width:1in;height:35.4pt;z-index:251658240">
            <v:textbox style="mso-next-textbox:#_x0000_s1026">
              <w:txbxContent>
                <w:p w:rsidR="00C807C9" w:rsidRPr="00651893" w:rsidRDefault="00C807C9" w:rsidP="00C807C9">
                  <w:pPr>
                    <w:jc w:val="center"/>
                    <w:rPr>
                      <w:rFonts w:ascii="Calibri" w:hAnsi="Calibri"/>
                      <w:b/>
                      <w:bCs/>
                      <w:sz w:val="42"/>
                      <w:szCs w:val="46"/>
                    </w:rPr>
                  </w:pPr>
                  <w:r w:rsidRPr="00651893">
                    <w:rPr>
                      <w:rFonts w:ascii="Calibri" w:hAnsi="Calibri"/>
                      <w:b/>
                      <w:bCs/>
                      <w:sz w:val="42"/>
                      <w:szCs w:val="46"/>
                    </w:rPr>
                    <w:t>Draft</w:t>
                  </w:r>
                </w:p>
              </w:txbxContent>
            </v:textbox>
          </v:shape>
        </w:pict>
      </w:r>
      <w:r w:rsidR="00EC18A2" w:rsidRPr="00EC18A2">
        <w:rPr>
          <w:b/>
          <w:i/>
          <w:u w:val="single"/>
        </w:rPr>
        <w:t>MC/15/31</w:t>
      </w:r>
    </w:p>
    <w:p w:rsidR="008006EB" w:rsidRPr="008006EB" w:rsidRDefault="00F53CCF" w:rsidP="008006EB">
      <w:pPr>
        <w:pStyle w:val="text"/>
        <w:rPr>
          <w:b/>
          <w:u w:val="single"/>
        </w:rPr>
      </w:pPr>
      <w:r w:rsidRPr="00F53CCF">
        <w:rPr>
          <w:b/>
          <w:u w:val="single"/>
        </w:rPr>
        <w:t>PENSION AND ASSURANCE SCHEME FOR LAY EMPLOYEES OF THE METHODIST CHURCH</w:t>
      </w:r>
    </w:p>
    <w:p w:rsidR="008006EB" w:rsidRPr="008006EB" w:rsidRDefault="008006EB" w:rsidP="008006EB">
      <w:pPr>
        <w:pStyle w:val="text"/>
        <w:rPr>
          <w:b/>
          <w:u w:val="single"/>
        </w:rPr>
      </w:pPr>
      <w:r w:rsidRPr="008006EB">
        <w:rPr>
          <w:b/>
          <w:u w:val="single"/>
        </w:rPr>
        <w:t>Statement of Funding Principles</w:t>
      </w:r>
    </w:p>
    <w:p w:rsidR="0040428F" w:rsidRPr="008006EB" w:rsidRDefault="0040428F" w:rsidP="00C47EAD">
      <w:pPr>
        <w:pStyle w:val="Heading1"/>
        <w:numPr>
          <w:ilvl w:val="0"/>
          <w:numId w:val="40"/>
        </w:numPr>
        <w:ind w:hanging="720"/>
      </w:pPr>
      <w:r w:rsidRPr="008006EB">
        <w:t>Status</w:t>
      </w:r>
    </w:p>
    <w:p w:rsidR="008006EB" w:rsidRPr="008006EB" w:rsidRDefault="008006EB" w:rsidP="008E3043">
      <w:pPr>
        <w:pStyle w:val="text"/>
        <w:ind w:left="720"/>
      </w:pPr>
      <w:r w:rsidRPr="008006EB">
        <w:t xml:space="preserve">This statement was </w:t>
      </w:r>
      <w:r w:rsidR="004A0CA4">
        <w:t>agreed</w:t>
      </w:r>
      <w:bookmarkStart w:id="0" w:name="_GoBack"/>
      <w:bookmarkEnd w:id="0"/>
      <w:r w:rsidRPr="008006EB">
        <w:t xml:space="preserve"> by the Trustee on </w:t>
      </w:r>
      <w:r w:rsidR="008876FB">
        <w:t>5</w:t>
      </w:r>
      <w:r w:rsidR="006B42C6">
        <w:t xml:space="preserve"> March</w:t>
      </w:r>
      <w:r w:rsidRPr="008006EB">
        <w:t> 20</w:t>
      </w:r>
      <w:r w:rsidR="008E3043">
        <w:t>1</w:t>
      </w:r>
      <w:r w:rsidR="00FB602F">
        <w:t>5</w:t>
      </w:r>
      <w:r w:rsidRPr="008006EB">
        <w:t xml:space="preserve"> for the purposes of the actuarial </w:t>
      </w:r>
      <w:r w:rsidR="008E3043">
        <w:t>valuation as at 1 September 201</w:t>
      </w:r>
      <w:r w:rsidR="008876FB">
        <w:t>4</w:t>
      </w:r>
      <w:r w:rsidRPr="008006EB">
        <w:t xml:space="preserve"> after obtaining the advice of </w:t>
      </w:r>
      <w:r w:rsidR="00F53CCF">
        <w:t>Diana Simon</w:t>
      </w:r>
      <w:r w:rsidRPr="008006EB">
        <w:t xml:space="preserve">, the actuary to the </w:t>
      </w:r>
      <w:r w:rsidR="00F53CCF">
        <w:t>Scheme</w:t>
      </w:r>
      <w:r w:rsidR="008876FB">
        <w:t xml:space="preserve"> and after </w:t>
      </w:r>
      <w:r w:rsidR="00C47EAD">
        <w:t>consulti</w:t>
      </w:r>
      <w:r w:rsidR="008876FB">
        <w:t>ng with the Central Finance Board and the Finance Sub Group of the Strategy and Resources Committee (</w:t>
      </w:r>
      <w:r w:rsidR="002C3C30">
        <w:t>“</w:t>
      </w:r>
      <w:r w:rsidR="008876FB">
        <w:t>SRC</w:t>
      </w:r>
      <w:r w:rsidR="002C3C30">
        <w:t>”</w:t>
      </w:r>
      <w:r w:rsidR="008876FB">
        <w:t>) of the Methodist Church on behalf of the Methodist Council and the other participating employers of the Scheme (“the Employers”).</w:t>
      </w:r>
    </w:p>
    <w:p w:rsidR="008006EB" w:rsidRPr="008006EB" w:rsidRDefault="008006EB" w:rsidP="00C47EAD">
      <w:pPr>
        <w:pStyle w:val="Heading1"/>
        <w:numPr>
          <w:ilvl w:val="0"/>
          <w:numId w:val="40"/>
        </w:numPr>
        <w:ind w:hanging="720"/>
      </w:pPr>
      <w:r w:rsidRPr="008006EB">
        <w:t>The statutory funding objective</w:t>
      </w:r>
    </w:p>
    <w:p w:rsidR="008006EB" w:rsidRPr="008006EB" w:rsidRDefault="008006EB" w:rsidP="008006EB">
      <w:pPr>
        <w:pStyle w:val="text"/>
        <w:ind w:left="720"/>
      </w:pPr>
      <w:r w:rsidRPr="008006EB">
        <w:t>This statement sets out the Trustee’s policy for ensuring that the statutory funding objective is met.  The statutory funding objective is defined in section 222 of the Pensions Act 2004, which states that every scheme must have sufficient and appropriate assets to cover its technical provisions.</w:t>
      </w:r>
    </w:p>
    <w:p w:rsidR="008006EB" w:rsidRPr="008006EB" w:rsidRDefault="008006EB" w:rsidP="00C47EAD">
      <w:pPr>
        <w:pStyle w:val="Heading1"/>
        <w:numPr>
          <w:ilvl w:val="0"/>
          <w:numId w:val="40"/>
        </w:numPr>
        <w:ind w:hanging="720"/>
      </w:pPr>
      <w:r w:rsidRPr="008006EB">
        <w:t>Funding objectives in addition to the statutory funding objective</w:t>
      </w:r>
    </w:p>
    <w:p w:rsidR="008006EB" w:rsidRPr="008006EB" w:rsidRDefault="008006EB" w:rsidP="008006EB">
      <w:pPr>
        <w:pStyle w:val="text"/>
        <w:ind w:firstLine="720"/>
        <w:rPr>
          <w:bCs/>
        </w:rPr>
      </w:pPr>
      <w:r w:rsidRPr="008006EB">
        <w:rPr>
          <w:bCs/>
        </w:rPr>
        <w:t>None</w:t>
      </w:r>
    </w:p>
    <w:p w:rsidR="008006EB" w:rsidRPr="008006EB" w:rsidRDefault="008006EB" w:rsidP="00C47EAD">
      <w:pPr>
        <w:pStyle w:val="Heading1"/>
        <w:numPr>
          <w:ilvl w:val="0"/>
          <w:numId w:val="40"/>
        </w:numPr>
        <w:ind w:hanging="720"/>
      </w:pPr>
      <w:r w:rsidRPr="008006EB">
        <w:t>Calculation of the technical provisions</w:t>
      </w:r>
    </w:p>
    <w:p w:rsidR="008006EB" w:rsidRPr="00C47EAD" w:rsidRDefault="00C47EAD" w:rsidP="00C47EAD">
      <w:pPr>
        <w:pStyle w:val="Heading2"/>
      </w:pPr>
      <w:r w:rsidRPr="00C47EAD">
        <w:rPr>
          <w:u w:val="none"/>
        </w:rPr>
        <w:t>4.1</w:t>
      </w:r>
      <w:r w:rsidRPr="00C47EAD">
        <w:rPr>
          <w:u w:val="none"/>
        </w:rPr>
        <w:tab/>
      </w:r>
      <w:r w:rsidR="008006EB" w:rsidRPr="00C47EAD">
        <w:t xml:space="preserve">Technical </w:t>
      </w:r>
      <w:r w:rsidR="003D2E3C" w:rsidRPr="00C47EAD">
        <w:t>p</w:t>
      </w:r>
      <w:r w:rsidR="008006EB" w:rsidRPr="00C47EAD">
        <w:t>rovisions</w:t>
      </w:r>
    </w:p>
    <w:p w:rsidR="008006EB" w:rsidRPr="008006EB" w:rsidRDefault="008006EB" w:rsidP="008006EB">
      <w:pPr>
        <w:pStyle w:val="text"/>
        <w:ind w:left="720" w:hanging="720"/>
      </w:pPr>
      <w:r w:rsidRPr="008006EB">
        <w:tab/>
        <w:t xml:space="preserve">The technical provisions are the amount </w:t>
      </w:r>
      <w:r w:rsidR="009F10F1">
        <w:t>that will be needed to pay the S</w:t>
      </w:r>
      <w:r w:rsidR="008876FB">
        <w:t xml:space="preserve">cheme benefits, as set out in the Scheme’s </w:t>
      </w:r>
      <w:r w:rsidR="00C47EAD">
        <w:t xml:space="preserve">Rules, </w:t>
      </w:r>
      <w:r w:rsidR="00FB602F">
        <w:t xml:space="preserve">that </w:t>
      </w:r>
      <w:r w:rsidRPr="008006EB">
        <w:t>relate to service up to the valuation dat</w:t>
      </w:r>
      <w:r>
        <w:t xml:space="preserve">e, if the assumptions made are borne out in practice.  </w:t>
      </w:r>
      <w:r w:rsidR="008876FB">
        <w:t>The assumptions used to calculate the technical provisions are intended to provide a prudent estimate of the future experience of the</w:t>
      </w:r>
      <w:r w:rsidR="001771A0">
        <w:t xml:space="preserve"> Scheme, with a</w:t>
      </w:r>
      <w:r w:rsidR="008876FB">
        <w:t xml:space="preserve"> modest allowance for the future potential</w:t>
      </w:r>
      <w:r w:rsidR="001771A0">
        <w:t xml:space="preserve"> investment returns above the gilt yield</w:t>
      </w:r>
      <w:r w:rsidR="008876FB">
        <w:t xml:space="preserve"> from continued investment in more risky assets.  There is an underlying </w:t>
      </w:r>
      <w:r>
        <w:t>assumption that the Scheme will continue as a going concern with benefits being met from the Scheme as they fall due.</w:t>
      </w:r>
    </w:p>
    <w:p w:rsidR="008006EB" w:rsidRPr="008006EB" w:rsidRDefault="00C47EAD" w:rsidP="008006EB">
      <w:pPr>
        <w:pStyle w:val="Heading2"/>
      </w:pPr>
      <w:r>
        <w:rPr>
          <w:u w:val="none"/>
        </w:rPr>
        <w:t>4.3</w:t>
      </w:r>
      <w:r>
        <w:rPr>
          <w:u w:val="none"/>
        </w:rPr>
        <w:tab/>
      </w:r>
      <w:r w:rsidR="008006EB" w:rsidRPr="008006EB">
        <w:t>Method</w:t>
      </w:r>
    </w:p>
    <w:p w:rsidR="008006EB" w:rsidRPr="008006EB" w:rsidRDefault="008006EB" w:rsidP="006803B2">
      <w:pPr>
        <w:pStyle w:val="text"/>
        <w:ind w:left="720"/>
        <w:rPr>
          <w:i/>
        </w:rPr>
      </w:pPr>
      <w:r w:rsidRPr="008006EB">
        <w:t xml:space="preserve">The actuarial method to be used in the calculation of the </w:t>
      </w:r>
      <w:r w:rsidRPr="008006EB">
        <w:rPr>
          <w:bCs/>
        </w:rPr>
        <w:t>technical provisions</w:t>
      </w:r>
      <w:r w:rsidRPr="008006EB">
        <w:t xml:space="preserve"> is the Projected Unit Method.</w:t>
      </w:r>
    </w:p>
    <w:p w:rsidR="008006EB" w:rsidRPr="008006EB" w:rsidRDefault="00C47EAD" w:rsidP="006803B2">
      <w:pPr>
        <w:pStyle w:val="Heading2"/>
      </w:pPr>
      <w:r>
        <w:rPr>
          <w:u w:val="none"/>
        </w:rPr>
        <w:t>4.4</w:t>
      </w:r>
      <w:r>
        <w:rPr>
          <w:u w:val="none"/>
        </w:rPr>
        <w:tab/>
      </w:r>
      <w:r w:rsidR="008006EB" w:rsidRPr="008006EB">
        <w:t xml:space="preserve">Investment </w:t>
      </w:r>
      <w:r w:rsidR="003D2E3C" w:rsidRPr="008006EB">
        <w:t>s</w:t>
      </w:r>
      <w:r w:rsidR="008006EB" w:rsidRPr="008006EB">
        <w:t>trategy</w:t>
      </w:r>
    </w:p>
    <w:p w:rsidR="008006EB" w:rsidRPr="008006EB" w:rsidRDefault="008006EB" w:rsidP="006803B2">
      <w:pPr>
        <w:pStyle w:val="text"/>
        <w:ind w:left="720"/>
      </w:pPr>
      <w:r w:rsidRPr="008006EB">
        <w:t>The choice of the discount rate</w:t>
      </w:r>
      <w:r w:rsidR="006803B2">
        <w:t>s</w:t>
      </w:r>
      <w:r w:rsidRPr="008006EB">
        <w:t xml:space="preserve"> needs to have regard to the investment strategy of the </w:t>
      </w:r>
      <w:r w:rsidR="006803B2">
        <w:t>Scheme</w:t>
      </w:r>
      <w:r w:rsidRPr="008006EB">
        <w:t xml:space="preserve">.  The current investment strategy for the </w:t>
      </w:r>
      <w:r w:rsidR="006803B2">
        <w:t>Scheme</w:t>
      </w:r>
      <w:r w:rsidRPr="008006EB">
        <w:t xml:space="preserve"> is set out in the </w:t>
      </w:r>
      <w:r w:rsidR="00F53CCF">
        <w:t>Scheme</w:t>
      </w:r>
      <w:r w:rsidRPr="008006EB">
        <w:t>’s Statement of Investment Principles and is reproduced in Appendix 1.</w:t>
      </w:r>
    </w:p>
    <w:p w:rsidR="008006EB" w:rsidRPr="008006EB" w:rsidRDefault="00C47EAD" w:rsidP="006803B2">
      <w:pPr>
        <w:pStyle w:val="Heading2"/>
      </w:pPr>
      <w:r>
        <w:rPr>
          <w:u w:val="none"/>
        </w:rPr>
        <w:lastRenderedPageBreak/>
        <w:t>4.5</w:t>
      </w:r>
      <w:r>
        <w:rPr>
          <w:u w:val="none"/>
        </w:rPr>
        <w:tab/>
      </w:r>
      <w:r w:rsidR="008006EB" w:rsidRPr="008006EB">
        <w:t>Assumptions</w:t>
      </w:r>
    </w:p>
    <w:p w:rsidR="008006EB" w:rsidRPr="008006EB" w:rsidRDefault="008006EB" w:rsidP="006803B2">
      <w:pPr>
        <w:pStyle w:val="text"/>
        <w:ind w:left="720"/>
      </w:pPr>
      <w:r w:rsidRPr="008006EB">
        <w:t>The discount rate assumptions are determined in the light of the current strategic asset target weighting for each asset class.</w:t>
      </w:r>
    </w:p>
    <w:p w:rsidR="008006EB" w:rsidRPr="008006EB" w:rsidRDefault="008006EB" w:rsidP="00C47EAD">
      <w:pPr>
        <w:pStyle w:val="text"/>
        <w:ind w:left="709"/>
      </w:pPr>
      <w:r w:rsidRPr="008006EB">
        <w:t>Details of the actual economic assumptions to be used to calculate the technical provisions at the valuation date are set out in Appendix 2.  Details of the demographic assumptions at the valuation date are set out in Appendix 3.</w:t>
      </w:r>
    </w:p>
    <w:p w:rsidR="008006EB" w:rsidRPr="008006EB" w:rsidRDefault="008006EB" w:rsidP="00C47EAD">
      <w:pPr>
        <w:pStyle w:val="text"/>
        <w:ind w:left="709"/>
      </w:pPr>
      <w:r w:rsidRPr="008006EB">
        <w:t>The following principles are to be applied to determine the economic assumptions:</w:t>
      </w:r>
    </w:p>
    <w:p w:rsidR="008006EB" w:rsidRPr="008006EB" w:rsidRDefault="008006EB" w:rsidP="006803B2">
      <w:pPr>
        <w:pStyle w:val="BulletText1"/>
      </w:pPr>
      <w:r w:rsidRPr="008006EB">
        <w:rPr>
          <w:b/>
        </w:rPr>
        <w:t xml:space="preserve">Discount rate: </w:t>
      </w:r>
      <w:r w:rsidRPr="008006EB">
        <w:t xml:space="preserve"> The discount rate used to value the liabilities both in the period to retirement and after retirement is determined with reference to the yield on gilts at the valuation date with adjustment to allow for the expected outperformance over gilts allowing for the </w:t>
      </w:r>
      <w:r w:rsidR="006803B2">
        <w:t>Scheme</w:t>
      </w:r>
      <w:r w:rsidRPr="008006EB">
        <w:t xml:space="preserve">’s </w:t>
      </w:r>
      <w:r w:rsidR="00EB0491">
        <w:t xml:space="preserve">current </w:t>
      </w:r>
      <w:r w:rsidRPr="008006EB">
        <w:t>investment strategy.</w:t>
      </w:r>
      <w:r w:rsidR="008E3043">
        <w:t xml:space="preserve">  The outperformance premium</w:t>
      </w:r>
      <w:r w:rsidR="00EB0491">
        <w:t>s</w:t>
      </w:r>
      <w:r w:rsidR="008E3043">
        <w:t xml:space="preserve"> will be determined as a prudent allowance for the outperformance of the assets relative to the return available on gilts.  The premium</w:t>
      </w:r>
      <w:r w:rsidR="00EB0491">
        <w:t>s</w:t>
      </w:r>
      <w:r w:rsidR="008E3043">
        <w:t xml:space="preserve"> will be determined having regard to the Scheme’s investment strategy,</w:t>
      </w:r>
      <w:r w:rsidR="00EB0491">
        <w:t xml:space="preserve"> the strength of the E</w:t>
      </w:r>
      <w:r w:rsidR="008E3043">
        <w:t xml:space="preserve">mployers’ covenants and market conditions at the time of the valuation.  </w:t>
      </w:r>
      <w:r w:rsidR="003108B8">
        <w:t xml:space="preserve">The premiums at 1 September 2014 are 2% pa pre retirement and 0.5% pa post retirement.  </w:t>
      </w:r>
      <w:r w:rsidR="008E3043">
        <w:t>The premium</w:t>
      </w:r>
      <w:r w:rsidR="00EB0491">
        <w:t>s</w:t>
      </w:r>
      <w:r w:rsidR="008E3043">
        <w:t xml:space="preserve"> will be reviewed at each valuation.</w:t>
      </w:r>
    </w:p>
    <w:p w:rsidR="008006EB" w:rsidRPr="008006EB" w:rsidRDefault="008006EB" w:rsidP="006803B2">
      <w:pPr>
        <w:pStyle w:val="BulletText1"/>
      </w:pPr>
      <w:r w:rsidRPr="008006EB">
        <w:rPr>
          <w:b/>
        </w:rPr>
        <w:t>Inflation:</w:t>
      </w:r>
      <w:r w:rsidRPr="008006EB">
        <w:t xml:space="preserve"> The</w:t>
      </w:r>
      <w:r w:rsidR="001771A0">
        <w:t xml:space="preserve"> Retail Prices Index (RPI)</w:t>
      </w:r>
      <w:r w:rsidRPr="008006EB">
        <w:t xml:space="preserve"> inflation assumption</w:t>
      </w:r>
      <w:r w:rsidR="00EB0491">
        <w:t xml:space="preserve"> is taken to be the investment markets expectation for inflation as</w:t>
      </w:r>
      <w:r w:rsidRPr="008006EB">
        <w:t xml:space="preserve"> derived from the difference between the yield on fixed interest gilts and</w:t>
      </w:r>
      <w:r w:rsidR="001771A0">
        <w:t xml:space="preserve"> (RPI)</w:t>
      </w:r>
      <w:r w:rsidRPr="008006EB">
        <w:t xml:space="preserve"> index linked gilts at the valuation date. </w:t>
      </w:r>
      <w:r w:rsidR="008E3043">
        <w:t xml:space="preserve"> The</w:t>
      </w:r>
      <w:r w:rsidR="001771A0">
        <w:t xml:space="preserve"> Consumer Prices Index (CPI)</w:t>
      </w:r>
      <w:r w:rsidR="008E3043">
        <w:t xml:space="preserve"> inflation assumption is derived </w:t>
      </w:r>
      <w:r w:rsidR="001771A0">
        <w:t xml:space="preserve">from </w:t>
      </w:r>
      <w:r w:rsidR="008E3043">
        <w:t xml:space="preserve">the RPI assumption </w:t>
      </w:r>
      <w:r w:rsidR="002C3C30">
        <w:t xml:space="preserve">by making </w:t>
      </w:r>
      <w:r w:rsidR="008E3043">
        <w:t>an appropriate adjustment to reflect the difference</w:t>
      </w:r>
      <w:r w:rsidR="001771A0">
        <w:t>s</w:t>
      </w:r>
      <w:r w:rsidR="008E3043">
        <w:t xml:space="preserve"> between RPI and CPI.  The difference between the long term assumption for RPI and CPI inflation may vary over time to reflect changing views of long term structural differences between the calculation of RPI and CPI inflation at the date subsequent calculations are carried out.</w:t>
      </w:r>
      <w:r w:rsidR="00EB0491">
        <w:t xml:space="preserve">  The CPI assumption at 1 September 2014 is derived by deducting 0.7% pa from the RPI assumption.</w:t>
      </w:r>
    </w:p>
    <w:p w:rsidR="008006EB" w:rsidRPr="008006EB" w:rsidRDefault="008006EB" w:rsidP="006803B2">
      <w:pPr>
        <w:pStyle w:val="BulletText1"/>
      </w:pPr>
      <w:r w:rsidRPr="008006EB">
        <w:rPr>
          <w:b/>
        </w:rPr>
        <w:t>Pension increases:</w:t>
      </w:r>
      <w:r w:rsidRPr="008006EB">
        <w:rPr>
          <w:i/>
        </w:rPr>
        <w:t xml:space="preserve"> </w:t>
      </w:r>
      <w:r w:rsidRPr="008006EB">
        <w:t xml:space="preserve">Pensions in payment are assumed to increase annually by the rate of </w:t>
      </w:r>
      <w:r w:rsidR="001771A0">
        <w:t xml:space="preserve">RPI </w:t>
      </w:r>
      <w:r w:rsidRPr="008006EB">
        <w:t>inflation capped at 5% pa for benefits accrued prior to</w:t>
      </w:r>
      <w:r w:rsidR="006803B2">
        <w:t xml:space="preserve"> </w:t>
      </w:r>
      <w:r w:rsidR="00F53CCF">
        <w:t xml:space="preserve">6 April </w:t>
      </w:r>
      <w:r w:rsidRPr="008006EB">
        <w:t>200</w:t>
      </w:r>
      <w:r w:rsidR="00F53CCF">
        <w:t>5</w:t>
      </w:r>
      <w:r w:rsidRPr="008006EB">
        <w:t xml:space="preserve"> and capped at 2.5% pa for benefits accrued on or after </w:t>
      </w:r>
      <w:r w:rsidR="00F53CCF">
        <w:t xml:space="preserve">6 April </w:t>
      </w:r>
      <w:r w:rsidRPr="008006EB">
        <w:t>200</w:t>
      </w:r>
      <w:r w:rsidR="00F53CCF">
        <w:t>5</w:t>
      </w:r>
      <w:r w:rsidRPr="008006EB">
        <w:t>.</w:t>
      </w:r>
      <w:r w:rsidR="00F53CCF">
        <w:t xml:space="preserve">  Pensions which accrued prior to 1 September 1998 for members who joined the Scheme prior to 1 December 1997 increase at 5% pa.</w:t>
      </w:r>
      <w:r w:rsidRPr="008006EB">
        <w:t xml:space="preserve">  Deferred pensions are assumed to increase at the rate of</w:t>
      </w:r>
      <w:r w:rsidR="002A5B17">
        <w:t xml:space="preserve"> CPI</w:t>
      </w:r>
      <w:r w:rsidRPr="008006EB">
        <w:t xml:space="preserve"> inflation capped at 5% pa over the period of deferment</w:t>
      </w:r>
      <w:r w:rsidR="006B42C6">
        <w:t xml:space="preserve"> for service prior to 6 April 2009 and with a 2.5% pa cap for service from 6 April 2009.</w:t>
      </w:r>
      <w:r w:rsidR="008E3043">
        <w:t xml:space="preserve">  The increases are derived from the price inflation assumptions, allowing for the maximum and minimum annual increases and for inflation to vary from year to year.</w:t>
      </w:r>
    </w:p>
    <w:p w:rsidR="008006EB" w:rsidRPr="008006EB" w:rsidRDefault="00F53CCF" w:rsidP="008E3043">
      <w:pPr>
        <w:pStyle w:val="BulletText1"/>
      </w:pPr>
      <w:r>
        <w:rPr>
          <w:b/>
        </w:rPr>
        <w:t xml:space="preserve">Pensionable </w:t>
      </w:r>
      <w:r w:rsidR="008E3043">
        <w:rPr>
          <w:b/>
        </w:rPr>
        <w:t>Earnings</w:t>
      </w:r>
      <w:r w:rsidR="008006EB" w:rsidRPr="008006EB">
        <w:rPr>
          <w:b/>
        </w:rPr>
        <w:t xml:space="preserve"> increases:</w:t>
      </w:r>
      <w:r w:rsidR="008006EB" w:rsidRPr="008006EB">
        <w:t xml:space="preserve">  </w:t>
      </w:r>
      <w:r>
        <w:t xml:space="preserve">Pensionable </w:t>
      </w:r>
      <w:r w:rsidR="000D6F4C">
        <w:t>Earnings</w:t>
      </w:r>
      <w:r w:rsidR="006803B2">
        <w:t xml:space="preserve"> are </w:t>
      </w:r>
      <w:r w:rsidR="008006EB" w:rsidRPr="008006EB">
        <w:t>assumed to increase at the rate of</w:t>
      </w:r>
      <w:r w:rsidR="002A5B17">
        <w:t xml:space="preserve"> CPI</w:t>
      </w:r>
      <w:r w:rsidR="008006EB" w:rsidRPr="008006EB">
        <w:t xml:space="preserve"> inflation plus a </w:t>
      </w:r>
      <w:r w:rsidR="006803B2">
        <w:t>s</w:t>
      </w:r>
      <w:r>
        <w:t>alary</w:t>
      </w:r>
      <w:r w:rsidR="006803B2">
        <w:t xml:space="preserve"> </w:t>
      </w:r>
      <w:r w:rsidR="008006EB" w:rsidRPr="008006EB">
        <w:t>increase adjustment</w:t>
      </w:r>
      <w:r w:rsidR="008E3043">
        <w:t xml:space="preserve"> together with an age related scale to allow for promotional increases</w:t>
      </w:r>
      <w:r w:rsidR="008006EB" w:rsidRPr="008006EB">
        <w:t xml:space="preserve">.  </w:t>
      </w:r>
      <w:r w:rsidR="004948F5">
        <w:t>Sample rates are included in Appendix 3 to this statement.</w:t>
      </w:r>
      <w:r w:rsidR="00EB0491">
        <w:t xml:space="preserve">  The adjustment is 1% pa at 1 September 2014 and will be reviewed at each valuation.</w:t>
      </w:r>
    </w:p>
    <w:p w:rsidR="008006EB" w:rsidRPr="008006EB" w:rsidRDefault="008006EB" w:rsidP="008006EB">
      <w:pPr>
        <w:pStyle w:val="text"/>
      </w:pPr>
      <w:r w:rsidRPr="008006EB">
        <w:tab/>
        <w:t>The other assumptions will be as follows:</w:t>
      </w:r>
    </w:p>
    <w:p w:rsidR="008006EB" w:rsidRPr="008006EB" w:rsidRDefault="008006EB" w:rsidP="006803B2">
      <w:pPr>
        <w:pStyle w:val="BulletText1"/>
      </w:pPr>
      <w:r w:rsidRPr="008006EB">
        <w:rPr>
          <w:b/>
        </w:rPr>
        <w:lastRenderedPageBreak/>
        <w:t>Mortality:</w:t>
      </w:r>
      <w:r w:rsidRPr="008006EB">
        <w:rPr>
          <w:i/>
        </w:rPr>
        <w:t xml:space="preserve">  </w:t>
      </w:r>
      <w:r w:rsidRPr="008006EB">
        <w:t>Standard published tables of mortality have been adopted.  These tables allow for expected future improvements in longevity.  Sample rates and the details of the tables are included in Appendix 3 to this statement.</w:t>
      </w:r>
    </w:p>
    <w:p w:rsidR="008006EB" w:rsidRPr="008006EB" w:rsidRDefault="008006EB" w:rsidP="006803B2">
      <w:pPr>
        <w:pStyle w:val="BulletText1"/>
      </w:pPr>
      <w:r w:rsidRPr="008006EB">
        <w:rPr>
          <w:b/>
        </w:rPr>
        <w:t>New entrants:</w:t>
      </w:r>
      <w:r w:rsidRPr="008006EB">
        <w:t xml:space="preserve">  The valuation method assumes that the membership of the </w:t>
      </w:r>
      <w:r w:rsidR="006803B2">
        <w:t xml:space="preserve">Scheme </w:t>
      </w:r>
      <w:r w:rsidRPr="008006EB">
        <w:t xml:space="preserve">remains stable.  It assumes that people who leave the </w:t>
      </w:r>
      <w:r w:rsidR="006803B2">
        <w:t xml:space="preserve">Scheme </w:t>
      </w:r>
      <w:r w:rsidRPr="008006EB">
        <w:t>are replaced by new joiners, such that the age and sex profile of the membership remains broadly unchanged.</w:t>
      </w:r>
    </w:p>
    <w:p w:rsidR="008006EB" w:rsidRPr="008006EB" w:rsidRDefault="008006EB" w:rsidP="006803B2">
      <w:pPr>
        <w:pStyle w:val="BulletText1"/>
      </w:pPr>
      <w:r w:rsidRPr="008006EB">
        <w:rPr>
          <w:b/>
        </w:rPr>
        <w:t>Leaving service:</w:t>
      </w:r>
      <w:r w:rsidRPr="008006EB">
        <w:t xml:space="preserve">  </w:t>
      </w:r>
      <w:r w:rsidR="00F53CCF">
        <w:t>A</w:t>
      </w:r>
      <w:r w:rsidRPr="008006EB">
        <w:t xml:space="preserve">llowance has been made for withdrawals from service prior to Normal </w:t>
      </w:r>
      <w:r w:rsidR="000D6F4C">
        <w:t>Retiring</w:t>
      </w:r>
      <w:r w:rsidRPr="008006EB">
        <w:t xml:space="preserve"> Dates</w:t>
      </w:r>
      <w:r w:rsidR="00F53CCF">
        <w:t xml:space="preserve"> by means of an age related scale.</w:t>
      </w:r>
      <w:r w:rsidR="004948F5">
        <w:t xml:space="preserve">  Sample rates are included in Appendix 3 to this statement.</w:t>
      </w:r>
    </w:p>
    <w:p w:rsidR="008006EB" w:rsidRPr="008006EB" w:rsidRDefault="008006EB" w:rsidP="006803B2">
      <w:pPr>
        <w:pStyle w:val="BulletText1"/>
      </w:pPr>
      <w:r w:rsidRPr="008006EB">
        <w:rPr>
          <w:b/>
        </w:rPr>
        <w:t>Retirement:</w:t>
      </w:r>
      <w:r w:rsidRPr="008006EB">
        <w:t xml:space="preserve"> </w:t>
      </w:r>
      <w:r w:rsidR="00F53CCF">
        <w:t xml:space="preserve"> Members who joined the Scheme prior to 1 December </w:t>
      </w:r>
      <w:r w:rsidR="000D6F4C">
        <w:t>1997</w:t>
      </w:r>
      <w:r w:rsidR="00F53CCF">
        <w:t xml:space="preserve"> are assumed to retire at age 62 other than female members who did not elect for a pension age of 65 in 1991 who are assumed to retire at age 60.  All other members are assumed to retire at age 65.</w:t>
      </w:r>
      <w:r w:rsidR="008E3043">
        <w:t xml:space="preserve">  Deferred members are assumed to start to receive their pensions at the earliest age they can do so unreduced.</w:t>
      </w:r>
      <w:r w:rsidR="00EB0491">
        <w:t xml:space="preserve">  This assumption will be reviewed at each valuation.</w:t>
      </w:r>
    </w:p>
    <w:p w:rsidR="008006EB" w:rsidRPr="008006EB" w:rsidRDefault="008006EB" w:rsidP="006803B2">
      <w:pPr>
        <w:pStyle w:val="BulletText1"/>
      </w:pPr>
      <w:r w:rsidRPr="008006EB">
        <w:rPr>
          <w:b/>
        </w:rPr>
        <w:t>Age difference of dependants:</w:t>
      </w:r>
      <w:r w:rsidRPr="008006EB">
        <w:t xml:space="preserve">  Allowance will be made for an age differential between the member and their spouse.</w:t>
      </w:r>
    </w:p>
    <w:p w:rsidR="008006EB" w:rsidRPr="008006EB" w:rsidRDefault="008006EB" w:rsidP="006803B2">
      <w:pPr>
        <w:pStyle w:val="BulletText1"/>
      </w:pPr>
      <w:r w:rsidRPr="008006EB">
        <w:rPr>
          <w:b/>
        </w:rPr>
        <w:t>Percentage with spouse benefits at death:</w:t>
      </w:r>
      <w:r w:rsidRPr="008006EB">
        <w:rPr>
          <w:i/>
        </w:rPr>
        <w:t xml:space="preserve"> </w:t>
      </w:r>
      <w:r w:rsidRPr="008006EB">
        <w:t xml:space="preserve">An allowance </w:t>
      </w:r>
      <w:r w:rsidR="00EB0491">
        <w:t>will be made for members with</w:t>
      </w:r>
      <w:r w:rsidRPr="008006EB">
        <w:t xml:space="preserve"> spouse benefits at death.</w:t>
      </w:r>
    </w:p>
    <w:p w:rsidR="008006EB" w:rsidRPr="008006EB" w:rsidRDefault="008006EB" w:rsidP="006803B2">
      <w:pPr>
        <w:pStyle w:val="BulletText1"/>
      </w:pPr>
      <w:r w:rsidRPr="008006EB">
        <w:rPr>
          <w:b/>
        </w:rPr>
        <w:t>Commutation</w:t>
      </w:r>
      <w:r w:rsidRPr="008006EB">
        <w:t xml:space="preserve">: </w:t>
      </w:r>
      <w:r w:rsidR="00EB0491">
        <w:t xml:space="preserve">Allowance will be made </w:t>
      </w:r>
      <w:r w:rsidR="00FB602F">
        <w:t>f</w:t>
      </w:r>
      <w:r w:rsidR="00EB0491">
        <w:t>o</w:t>
      </w:r>
      <w:r w:rsidR="00FB602F">
        <w:t>r</w:t>
      </w:r>
      <w:r w:rsidR="00EB0491">
        <w:t xml:space="preserve"> members to commute part of their pensions at retirement for a lump sum.  This allowance is 15% of main Scheme pension</w:t>
      </w:r>
      <w:r w:rsidR="003D2E3C">
        <w:t>s</w:t>
      </w:r>
      <w:r w:rsidR="00EB0491">
        <w:t xml:space="preserve"> at 1</w:t>
      </w:r>
      <w:r w:rsidR="003D2E3C">
        <w:t> </w:t>
      </w:r>
      <w:r w:rsidR="00EB0491">
        <w:t>September 2014.  This allowance will be reviewed at each valuation.</w:t>
      </w:r>
    </w:p>
    <w:p w:rsidR="008006EB" w:rsidRDefault="008006EB" w:rsidP="006803B2">
      <w:pPr>
        <w:pStyle w:val="BulletText1"/>
      </w:pPr>
      <w:r w:rsidRPr="008006EB">
        <w:rPr>
          <w:b/>
        </w:rPr>
        <w:t xml:space="preserve">Management </w:t>
      </w:r>
      <w:r w:rsidR="003D2E3C" w:rsidRPr="008006EB">
        <w:rPr>
          <w:b/>
        </w:rPr>
        <w:t>e</w:t>
      </w:r>
      <w:r w:rsidRPr="008006EB">
        <w:rPr>
          <w:b/>
        </w:rPr>
        <w:t>xpenses</w:t>
      </w:r>
      <w:r w:rsidRPr="008006EB">
        <w:t xml:space="preserve">: </w:t>
      </w:r>
      <w:r w:rsidR="006803B2">
        <w:t>Allowance will be made for the expected expenses of the Scheme.</w:t>
      </w:r>
      <w:r w:rsidR="00EB0491">
        <w:t xml:space="preserve">  This allowance is summarised in Appendix 3 and will be </w:t>
      </w:r>
      <w:r w:rsidR="00C47EAD">
        <w:t>reviewed</w:t>
      </w:r>
      <w:r w:rsidR="00EB0491">
        <w:t xml:space="preserve"> at each valuation.</w:t>
      </w:r>
    </w:p>
    <w:p w:rsidR="006803B2" w:rsidRDefault="00F53CCF" w:rsidP="00C47EAD">
      <w:pPr>
        <w:pStyle w:val="Heading1"/>
        <w:numPr>
          <w:ilvl w:val="0"/>
          <w:numId w:val="40"/>
        </w:numPr>
        <w:ind w:hanging="720"/>
      </w:pPr>
      <w:r>
        <w:t>Employer</w:t>
      </w:r>
      <w:r w:rsidR="006803B2">
        <w:t xml:space="preserve"> contributions</w:t>
      </w:r>
    </w:p>
    <w:p w:rsidR="006803B2" w:rsidRPr="006803B2" w:rsidRDefault="006803B2" w:rsidP="006803B2">
      <w:pPr>
        <w:pStyle w:val="BodyTextFirstIndent"/>
      </w:pPr>
      <w:r>
        <w:t xml:space="preserve">The contributions payable by the </w:t>
      </w:r>
      <w:r w:rsidR="00EB0491">
        <w:t>E</w:t>
      </w:r>
      <w:r w:rsidR="00F53CCF">
        <w:t>mployers</w:t>
      </w:r>
      <w:r>
        <w:t xml:space="preserve"> are assessed by calculating the cost of future benefit accrual using the same assumptions as for the technical provisions</w:t>
      </w:r>
      <w:r w:rsidR="002A5B17">
        <w:t>,</w:t>
      </w:r>
      <w:r>
        <w:t xml:space="preserve"> plus an estimate of the expenses (excluding investment-related expenses) </w:t>
      </w:r>
      <w:r w:rsidR="008E3043">
        <w:t>including the Pension Protection Fund levy</w:t>
      </w:r>
      <w:r w:rsidR="002A5B17">
        <w:t>,</w:t>
      </w:r>
      <w:r w:rsidR="008E3043">
        <w:t xml:space="preserve"> </w:t>
      </w:r>
      <w:r>
        <w:rPr>
          <w:szCs w:val="20"/>
          <w:lang w:eastAsia="en-GB"/>
        </w:rPr>
        <w:t xml:space="preserve">reduced by the </w:t>
      </w:r>
      <w:r w:rsidRPr="006803B2">
        <w:rPr>
          <w:szCs w:val="20"/>
          <w:lang w:eastAsia="en-GB"/>
        </w:rPr>
        <w:t>contributions</w:t>
      </w:r>
      <w:r>
        <w:rPr>
          <w:szCs w:val="20"/>
          <w:lang w:eastAsia="en-GB"/>
        </w:rPr>
        <w:t xml:space="preserve"> made by members</w:t>
      </w:r>
      <w:r w:rsidR="002A5B17">
        <w:rPr>
          <w:szCs w:val="20"/>
          <w:lang w:eastAsia="en-GB"/>
        </w:rPr>
        <w:t xml:space="preserve"> and</w:t>
      </w:r>
      <w:r>
        <w:rPr>
          <w:szCs w:val="20"/>
          <w:lang w:eastAsia="en-GB"/>
        </w:rPr>
        <w:t xml:space="preserve"> adjusted by the amounts needed to eliminate any shortfall or surplus relative to the technical provisions.</w:t>
      </w:r>
    </w:p>
    <w:p w:rsidR="008006EB" w:rsidRPr="008006EB" w:rsidRDefault="008006EB" w:rsidP="00C47EAD">
      <w:pPr>
        <w:pStyle w:val="Heading1"/>
        <w:numPr>
          <w:ilvl w:val="0"/>
          <w:numId w:val="40"/>
        </w:numPr>
        <w:ind w:hanging="720"/>
      </w:pPr>
      <w:r w:rsidRPr="008006EB">
        <w:t>Policy on discretionary increases and funding strategy</w:t>
      </w:r>
    </w:p>
    <w:p w:rsidR="006803B2" w:rsidRDefault="008006EB" w:rsidP="006803B2">
      <w:pPr>
        <w:pStyle w:val="text"/>
        <w:ind w:left="720"/>
      </w:pPr>
      <w:r w:rsidRPr="008006EB">
        <w:t xml:space="preserve">Pensions may be increased from time to time once in payment by an amount over and above the guaranteed rate of increases set out in the Rules, </w:t>
      </w:r>
      <w:r w:rsidR="006803B2">
        <w:t xml:space="preserve">having regard to the financial position of the Scheme, </w:t>
      </w:r>
      <w:r w:rsidRPr="008006EB">
        <w:t>at the discretion of the Trustee</w:t>
      </w:r>
      <w:r w:rsidR="006803B2">
        <w:t xml:space="preserve"> after consultation</w:t>
      </w:r>
      <w:r w:rsidRPr="008006EB">
        <w:t xml:space="preserve"> with the actuary</w:t>
      </w:r>
      <w:r w:rsidR="006803B2">
        <w:t xml:space="preserve"> and with consent of </w:t>
      </w:r>
      <w:r w:rsidR="00F53CCF">
        <w:t>the Methodist Council.</w:t>
      </w:r>
    </w:p>
    <w:p w:rsidR="008006EB" w:rsidRPr="008006EB" w:rsidRDefault="006803B2" w:rsidP="006803B2">
      <w:pPr>
        <w:pStyle w:val="text"/>
        <w:ind w:left="720"/>
      </w:pPr>
      <w:r>
        <w:t xml:space="preserve">Advance provision is not to be made for any </w:t>
      </w:r>
      <w:r w:rsidR="008006EB" w:rsidRPr="008006EB">
        <w:t>discretionary increases for the purpose of calculating the technical provisions.</w:t>
      </w:r>
      <w:r w:rsidR="00D614D3">
        <w:t xml:space="preserve">  If discretionary increases to benefits are to be made, the Trustee’s current policy would be to request immediate additional contributions to meet the cost of such increases.</w:t>
      </w:r>
    </w:p>
    <w:p w:rsidR="008006EB" w:rsidRPr="008006EB" w:rsidRDefault="008006EB" w:rsidP="003D2E3C">
      <w:pPr>
        <w:pStyle w:val="Heading1"/>
        <w:numPr>
          <w:ilvl w:val="0"/>
          <w:numId w:val="40"/>
        </w:numPr>
        <w:ind w:hanging="720"/>
        <w:jc w:val="left"/>
      </w:pPr>
      <w:r w:rsidRPr="008006EB">
        <w:lastRenderedPageBreak/>
        <w:t>Period within which and manner in which a failure to meet the statutory funding objective is to be rectified</w:t>
      </w:r>
    </w:p>
    <w:p w:rsidR="008006EB" w:rsidRPr="008006EB" w:rsidRDefault="008006EB" w:rsidP="00D614D3">
      <w:pPr>
        <w:pStyle w:val="text"/>
        <w:ind w:left="720"/>
      </w:pPr>
      <w:r w:rsidRPr="008006EB">
        <w:t>The Trustee</w:t>
      </w:r>
      <w:r w:rsidR="002A5B17">
        <w:t xml:space="preserve">, the </w:t>
      </w:r>
      <w:r w:rsidR="002A5B17">
        <w:rPr>
          <w:spacing w:val="-3"/>
        </w:rPr>
        <w:t>Central Finance Board</w:t>
      </w:r>
      <w:r w:rsidRPr="008006EB">
        <w:t xml:space="preserve"> and the </w:t>
      </w:r>
      <w:r w:rsidR="00F53CCF">
        <w:t>Methodist Council</w:t>
      </w:r>
      <w:r w:rsidRPr="008006EB">
        <w:t xml:space="preserve"> have agreed that any funding shortfalls identified at an actuarial valuation should be eliminated by the payment of additional contributions</w:t>
      </w:r>
      <w:r w:rsidR="00EB0491">
        <w:t xml:space="preserve"> over the recovery period</w:t>
      </w:r>
      <w:r w:rsidRPr="008006EB">
        <w:t>.  The level and period over which these additional contributions are to be paid will be agreed between the Trustee</w:t>
      </w:r>
      <w:r w:rsidR="002A5B17">
        <w:t>,</w:t>
      </w:r>
      <w:r w:rsidRPr="008006EB">
        <w:t xml:space="preserve"> the</w:t>
      </w:r>
      <w:r w:rsidR="00F53CCF">
        <w:t xml:space="preserve"> Methodist Counci</w:t>
      </w:r>
      <w:r w:rsidR="00EB0491">
        <w:t>l</w:t>
      </w:r>
      <w:r w:rsidR="00FB602F">
        <w:t xml:space="preserve"> (representing all the participating employers other than the </w:t>
      </w:r>
      <w:r w:rsidR="00FB602F">
        <w:rPr>
          <w:spacing w:val="-3"/>
        </w:rPr>
        <w:t>Central Finance Board</w:t>
      </w:r>
      <w:r w:rsidR="00FB602F">
        <w:t>)</w:t>
      </w:r>
      <w:r w:rsidR="00EB0491">
        <w:t xml:space="preserve"> and the Central Finance Board</w:t>
      </w:r>
      <w:r w:rsidRPr="008006EB">
        <w:t>.  In determining the actual recovery period at any particular valuation the Trustee’s principles are to take into account the following factors:</w:t>
      </w:r>
    </w:p>
    <w:p w:rsidR="008006EB" w:rsidRPr="008006EB" w:rsidRDefault="008006EB" w:rsidP="00162264">
      <w:pPr>
        <w:pStyle w:val="BulletText1"/>
        <w:spacing w:before="120"/>
        <w:ind w:hanging="360"/>
      </w:pPr>
      <w:r w:rsidRPr="008006EB">
        <w:t xml:space="preserve">the Rules of the </w:t>
      </w:r>
      <w:r w:rsidR="00D614D3">
        <w:t>Scheme;</w:t>
      </w:r>
    </w:p>
    <w:p w:rsidR="008006EB" w:rsidRPr="008006EB" w:rsidRDefault="008006EB" w:rsidP="00162264">
      <w:pPr>
        <w:pStyle w:val="BulletText1"/>
        <w:spacing w:before="120"/>
        <w:ind w:hanging="360"/>
      </w:pPr>
      <w:r w:rsidRPr="008006EB">
        <w:t>the size of the funding shortfall;</w:t>
      </w:r>
    </w:p>
    <w:p w:rsidR="008006EB" w:rsidRPr="008006EB" w:rsidRDefault="008006EB" w:rsidP="00162264">
      <w:pPr>
        <w:pStyle w:val="BulletText1"/>
        <w:spacing w:before="120"/>
        <w:ind w:hanging="360"/>
      </w:pPr>
      <w:r w:rsidRPr="008006EB">
        <w:t xml:space="preserve">the business plans of the </w:t>
      </w:r>
      <w:smartTag w:uri="urn:schemas-microsoft-com:office:smarttags" w:element="place">
        <w:smartTag w:uri="urn:schemas-microsoft-com:office:smarttags" w:element="PlaceName">
          <w:r w:rsidR="00D614D3">
            <w:t>Methodist</w:t>
          </w:r>
        </w:smartTag>
        <w:r w:rsidR="00D614D3">
          <w:t xml:space="preserve"> </w:t>
        </w:r>
        <w:smartTag w:uri="urn:schemas-microsoft-com:office:smarttags" w:element="PlaceType">
          <w:r w:rsidR="00D614D3">
            <w:t>Church</w:t>
          </w:r>
        </w:smartTag>
      </w:smartTag>
      <w:r w:rsidR="00F53CCF">
        <w:t xml:space="preserve"> and the other participating employers</w:t>
      </w:r>
      <w:r w:rsidRPr="008006EB">
        <w:t>;</w:t>
      </w:r>
    </w:p>
    <w:p w:rsidR="008006EB" w:rsidRPr="008006EB" w:rsidRDefault="008006EB" w:rsidP="00162264">
      <w:pPr>
        <w:pStyle w:val="BulletText1"/>
        <w:spacing w:before="120"/>
        <w:ind w:hanging="360"/>
      </w:pPr>
      <w:r w:rsidRPr="008006EB">
        <w:t xml:space="preserve">the Trustee’s assessment of the financial covenant of the </w:t>
      </w:r>
      <w:smartTag w:uri="urn:schemas-microsoft-com:office:smarttags" w:element="place">
        <w:smartTag w:uri="urn:schemas-microsoft-com:office:smarttags" w:element="PlaceName">
          <w:r w:rsidR="00D614D3">
            <w:t>Methodist</w:t>
          </w:r>
        </w:smartTag>
        <w:r w:rsidR="00D614D3">
          <w:t xml:space="preserve"> </w:t>
        </w:r>
        <w:smartTag w:uri="urn:schemas-microsoft-com:office:smarttags" w:element="PlaceType">
          <w:r w:rsidR="00D614D3">
            <w:t>Church</w:t>
          </w:r>
        </w:smartTag>
      </w:smartTag>
      <w:r w:rsidR="00F53CCF">
        <w:t xml:space="preserve"> and the other participating employers</w:t>
      </w:r>
      <w:r w:rsidRPr="008006EB">
        <w:t>; and</w:t>
      </w:r>
    </w:p>
    <w:p w:rsidR="008006EB" w:rsidRPr="008006EB" w:rsidRDefault="008006EB" w:rsidP="00162264">
      <w:pPr>
        <w:pStyle w:val="BulletText1"/>
        <w:spacing w:before="120"/>
        <w:ind w:hanging="360"/>
      </w:pPr>
      <w:r w:rsidRPr="008006EB">
        <w:t xml:space="preserve">any contingent security offered by the </w:t>
      </w:r>
      <w:r w:rsidR="00D614D3">
        <w:t>Methodist Church</w:t>
      </w:r>
      <w:r w:rsidR="00F53CCF">
        <w:t xml:space="preserve"> or the other participating employers</w:t>
      </w:r>
      <w:r w:rsidR="00EB0491">
        <w:t>.</w:t>
      </w:r>
    </w:p>
    <w:p w:rsidR="008006EB" w:rsidRDefault="008006EB" w:rsidP="00D614D3">
      <w:pPr>
        <w:pStyle w:val="text"/>
        <w:ind w:left="720" w:hanging="11"/>
      </w:pPr>
      <w:r w:rsidRPr="008006EB">
        <w:t xml:space="preserve">The assumptions to be used in these calculations will be those set out above for calculating the technical provisions except that they may also take account of </w:t>
      </w:r>
      <w:r w:rsidR="00EB0491">
        <w:t xml:space="preserve">some of </w:t>
      </w:r>
      <w:r w:rsidRPr="008006EB">
        <w:t>the expected investment out-performance of</w:t>
      </w:r>
      <w:r w:rsidR="00D614D3">
        <w:t xml:space="preserve"> Scheme</w:t>
      </w:r>
      <w:r w:rsidRPr="008006EB">
        <w:t xml:space="preserve"> assets over the discount rates used </w:t>
      </w:r>
      <w:r w:rsidR="00D614D3">
        <w:t xml:space="preserve">to calculate the </w:t>
      </w:r>
      <w:r w:rsidRPr="008006EB">
        <w:t>technical provisions</w:t>
      </w:r>
      <w:r w:rsidR="008E3043">
        <w:t>, as agreed by the Trustee</w:t>
      </w:r>
      <w:r w:rsidR="009D03C6">
        <w:t>,</w:t>
      </w:r>
      <w:r w:rsidR="008E3043">
        <w:t xml:space="preserve"> the Methodist Council</w:t>
      </w:r>
      <w:r w:rsidR="003108B8">
        <w:t xml:space="preserve"> and the Central Finance Board</w:t>
      </w:r>
      <w:r w:rsidR="008E3043">
        <w:t>, depending upon the circumstances at the time</w:t>
      </w:r>
      <w:r w:rsidRPr="008006EB">
        <w:t>.</w:t>
      </w:r>
    </w:p>
    <w:p w:rsidR="009D03C6" w:rsidRDefault="009D03C6" w:rsidP="00D614D3">
      <w:pPr>
        <w:pStyle w:val="text"/>
        <w:ind w:left="720" w:hanging="11"/>
      </w:pPr>
      <w:r>
        <w:t>For the 1 September 2014 valuation, it has been assumed that no additional investment outperformance other than that allowed for in the discount rates will be earned on the Scheme’s assets.</w:t>
      </w:r>
    </w:p>
    <w:p w:rsidR="008006EB" w:rsidRPr="008006EB" w:rsidRDefault="008006EB" w:rsidP="00C47EAD">
      <w:pPr>
        <w:pStyle w:val="Heading1"/>
        <w:numPr>
          <w:ilvl w:val="0"/>
          <w:numId w:val="40"/>
        </w:numPr>
        <w:ind w:hanging="720"/>
      </w:pPr>
      <w:r w:rsidRPr="008006EB">
        <w:t>Policy on reduction of cash equivalent transfer values (CETVs)</w:t>
      </w:r>
    </w:p>
    <w:p w:rsidR="008006EB" w:rsidRPr="008006EB" w:rsidRDefault="008006EB" w:rsidP="00951201">
      <w:pPr>
        <w:pStyle w:val="text"/>
        <w:ind w:left="720"/>
      </w:pPr>
      <w:r w:rsidRPr="008006EB">
        <w:t>The Trustee will ask the actuary to advise them at each valuation of the extent to which assets are sufficient to provide CETVs for all non pensioners without adversely affecting the security of the benefits of other members and beneficiaries.  Where coverage is less than 100</w:t>
      </w:r>
      <w:r w:rsidRPr="00615E67">
        <w:t>%</w:t>
      </w:r>
      <w:r w:rsidRPr="008006EB">
        <w:t xml:space="preserve"> of benefits in excess of the first priority slice (broadly those benefits which would be provided were the </w:t>
      </w:r>
      <w:r w:rsidR="00D614D3">
        <w:t xml:space="preserve">Scheme </w:t>
      </w:r>
      <w:r w:rsidRPr="008006EB">
        <w:t xml:space="preserve">to be admitted to the Pension Protection </w:t>
      </w:r>
      <w:r w:rsidR="00C1612A">
        <w:t>Fund</w:t>
      </w:r>
      <w:r w:rsidRPr="008006EB">
        <w:t xml:space="preserve">), the Trustee may </w:t>
      </w:r>
      <w:r w:rsidR="00951201">
        <w:t xml:space="preserve">consider whether CETVs should be </w:t>
      </w:r>
      <w:r w:rsidRPr="008006EB">
        <w:t>reduce</w:t>
      </w:r>
      <w:r w:rsidR="00951201">
        <w:t>d</w:t>
      </w:r>
      <w:r w:rsidRPr="008006EB">
        <w:t xml:space="preserve"> as permitted under legislation, after obtaining actuarial advice as to the appropriate extent.</w:t>
      </w:r>
    </w:p>
    <w:p w:rsidR="008006EB" w:rsidRPr="008006EB" w:rsidRDefault="008006EB" w:rsidP="00D614D3">
      <w:pPr>
        <w:pStyle w:val="text"/>
        <w:ind w:left="720"/>
      </w:pPr>
      <w:r w:rsidRPr="008006EB">
        <w:t>If at any other time, after obtaining advice from the actuary, the Trustee is of the opinion that the payment of CETVs at a previously agreed level may adversely affect the security of the benefits of other members and beneficiaries, the Trustee will commission a report from the actuary and will use the above criterion to decide whether, and to what extent, CETVs should be reduced.</w:t>
      </w:r>
    </w:p>
    <w:p w:rsidR="008006EB" w:rsidRPr="008006EB" w:rsidRDefault="00D614D3" w:rsidP="00C47EAD">
      <w:pPr>
        <w:pStyle w:val="Heading1"/>
        <w:numPr>
          <w:ilvl w:val="0"/>
          <w:numId w:val="40"/>
        </w:numPr>
        <w:ind w:hanging="720"/>
      </w:pPr>
      <w:r>
        <w:t xml:space="preserve">Payments to the </w:t>
      </w:r>
      <w:r w:rsidR="00F53CCF">
        <w:t>Employers</w:t>
      </w:r>
    </w:p>
    <w:p w:rsidR="008006EB" w:rsidRPr="008006EB" w:rsidRDefault="008006EB" w:rsidP="00D614D3">
      <w:pPr>
        <w:pStyle w:val="text"/>
        <w:ind w:left="720"/>
      </w:pPr>
      <w:r w:rsidRPr="008006EB">
        <w:t xml:space="preserve">Payments to the </w:t>
      </w:r>
      <w:r w:rsidR="00F53CCF">
        <w:t>Employers</w:t>
      </w:r>
      <w:r w:rsidR="00D614D3">
        <w:t xml:space="preserve"> </w:t>
      </w:r>
      <w:r w:rsidRPr="008006EB">
        <w:t xml:space="preserve">are not permitted under the rules of the </w:t>
      </w:r>
      <w:r w:rsidR="00D614D3">
        <w:t xml:space="preserve">Scheme </w:t>
      </w:r>
      <w:r w:rsidRPr="008006EB">
        <w:t xml:space="preserve">unless the </w:t>
      </w:r>
      <w:r w:rsidR="00D614D3">
        <w:t xml:space="preserve">Scheme </w:t>
      </w:r>
      <w:r w:rsidRPr="008006EB">
        <w:t>is being wound up and all of the benefits have been provided for.</w:t>
      </w:r>
    </w:p>
    <w:p w:rsidR="008006EB" w:rsidRPr="008006EB" w:rsidRDefault="008006EB" w:rsidP="00C47EAD">
      <w:pPr>
        <w:pStyle w:val="Heading1"/>
        <w:numPr>
          <w:ilvl w:val="0"/>
          <w:numId w:val="40"/>
        </w:numPr>
        <w:ind w:hanging="720"/>
      </w:pPr>
      <w:r w:rsidRPr="008006EB">
        <w:lastRenderedPageBreak/>
        <w:t>Frequency of valuations and circumstances for extra valuations</w:t>
      </w:r>
    </w:p>
    <w:p w:rsidR="008006EB" w:rsidRPr="008006EB" w:rsidRDefault="009D03C6" w:rsidP="00951201">
      <w:pPr>
        <w:pStyle w:val="text"/>
        <w:ind w:left="720"/>
      </w:pPr>
      <w:r>
        <w:t>This</w:t>
      </w:r>
      <w:r w:rsidR="008006EB" w:rsidRPr="008006EB">
        <w:t xml:space="preserve"> actuarial valuation under Part 3 of the Pensions Act 2004 is being carried out as at the effective date of 1 </w:t>
      </w:r>
      <w:r w:rsidR="00D614D3">
        <w:t xml:space="preserve">September </w:t>
      </w:r>
      <w:r w:rsidR="008006EB" w:rsidRPr="008006EB">
        <w:t>20</w:t>
      </w:r>
      <w:r>
        <w:t>14</w:t>
      </w:r>
      <w:r w:rsidR="008006EB" w:rsidRPr="008006EB">
        <w:t xml:space="preserve"> and subsequent valuations will, in normal circumstances, be carried out every three years thereafter.  An actuarial report on developments affecting the </w:t>
      </w:r>
      <w:r w:rsidR="00D614D3">
        <w:t>Scheme</w:t>
      </w:r>
      <w:r w:rsidR="008006EB" w:rsidRPr="008006EB">
        <w:t>’s funding level will be obtained as at each intermediate anniversary of that date.</w:t>
      </w:r>
    </w:p>
    <w:p w:rsidR="008006EB" w:rsidRDefault="008006EB" w:rsidP="00D614D3">
      <w:pPr>
        <w:pStyle w:val="text"/>
        <w:ind w:left="720"/>
      </w:pPr>
      <w:r w:rsidRPr="008006EB">
        <w:t xml:space="preserve">The Trustee may call for a full actuarial valuation instead of an actuarial report when, after considering the actuary’s advice, they are of the opinion that events have made it unsafe to continue to rely on the results of the previous valuation as the basis for future contributions.  However, the Trustee will consult the </w:t>
      </w:r>
      <w:r w:rsidR="00D614D3">
        <w:t>Methodist C</w:t>
      </w:r>
      <w:r w:rsidR="00F53CCF">
        <w:t>ouncil</w:t>
      </w:r>
      <w:r w:rsidR="002A5B17">
        <w:t xml:space="preserve"> and the </w:t>
      </w:r>
      <w:r w:rsidR="002A5B17">
        <w:rPr>
          <w:spacing w:val="-3"/>
        </w:rPr>
        <w:t>Central Finance Board</w:t>
      </w:r>
      <w:r w:rsidR="00F53CCF">
        <w:t xml:space="preserve"> </w:t>
      </w:r>
      <w:r w:rsidRPr="008006EB">
        <w:t>before doing so.</w:t>
      </w:r>
    </w:p>
    <w:p w:rsidR="00C12EF7" w:rsidRDefault="00C12EF7" w:rsidP="00C47EAD">
      <w:pPr>
        <w:pStyle w:val="Heading1"/>
        <w:numPr>
          <w:ilvl w:val="0"/>
          <w:numId w:val="40"/>
        </w:numPr>
        <w:ind w:hanging="720"/>
      </w:pPr>
      <w:r>
        <w:t>Interaction with investment strategy</w:t>
      </w:r>
    </w:p>
    <w:p w:rsidR="00C12EF7" w:rsidRPr="002C7CB0" w:rsidRDefault="00C12EF7" w:rsidP="00C12EF7">
      <w:pPr>
        <w:pStyle w:val="BulletText1"/>
        <w:numPr>
          <w:ilvl w:val="0"/>
          <w:numId w:val="0"/>
        </w:numPr>
        <w:ind w:left="709"/>
      </w:pPr>
      <w:r w:rsidRPr="002C7CB0">
        <w:t>The assets that most closely match the</w:t>
      </w:r>
      <w:r>
        <w:t xml:space="preserve"> Scheme</w:t>
      </w:r>
      <w:r w:rsidRPr="002C7CB0">
        <w:t>’s liabilities are index-linked and fixed-interest gilts of appropriate term compared to the liabilities.</w:t>
      </w:r>
      <w:r>
        <w:t xml:space="preserve">  </w:t>
      </w:r>
      <w:r w:rsidRPr="002C7CB0">
        <w:t>The</w:t>
      </w:r>
      <w:r>
        <w:t xml:space="preserve"> Scheme</w:t>
      </w:r>
      <w:r w:rsidRPr="002C7CB0">
        <w:t xml:space="preserve"> is partly invested in assets such as equities that are expected, although not guaranteed, to produce a higher return than gilts</w:t>
      </w:r>
      <w:r>
        <w:t xml:space="preserve"> over the long term</w:t>
      </w:r>
      <w:r w:rsidRPr="002C7CB0">
        <w:t>.  The Trustee understand</w:t>
      </w:r>
      <w:r>
        <w:t>s</w:t>
      </w:r>
      <w:r w:rsidRPr="002C7CB0">
        <w:t xml:space="preserve"> that investing in equities</w:t>
      </w:r>
      <w:r>
        <w:t xml:space="preserve"> is expected to</w:t>
      </w:r>
      <w:r w:rsidRPr="002C7CB0">
        <w:t xml:space="preserve"> reduce the expected contributions required from the </w:t>
      </w:r>
      <w:r w:rsidR="003D2E3C">
        <w:t>E</w:t>
      </w:r>
      <w:r w:rsidRPr="002C7CB0">
        <w:t>mployers in the long</w:t>
      </w:r>
      <w:r>
        <w:t xml:space="preserve"> run.</w:t>
      </w:r>
    </w:p>
    <w:p w:rsidR="00C12EF7" w:rsidRPr="002C7CB0" w:rsidRDefault="00C12EF7" w:rsidP="00C12EF7">
      <w:pPr>
        <w:pStyle w:val="BulletText1"/>
        <w:numPr>
          <w:ilvl w:val="0"/>
          <w:numId w:val="0"/>
        </w:numPr>
        <w:ind w:left="709"/>
      </w:pPr>
      <w:r w:rsidRPr="002C7CB0">
        <w:t xml:space="preserve">An allowance for </w:t>
      </w:r>
      <w:r>
        <w:t xml:space="preserve">part of </w:t>
      </w:r>
      <w:r w:rsidRPr="002C7CB0">
        <w:t>the extra return expected from equity investment has been taken into account in setting the</w:t>
      </w:r>
      <w:r>
        <w:t xml:space="preserve"> Scheme</w:t>
      </w:r>
      <w:r w:rsidRPr="002C7CB0">
        <w:t>’s technical provisions</w:t>
      </w:r>
      <w:r w:rsidR="009D03C6">
        <w:t xml:space="preserve"> and in calculating the contributions required under the recovery plan</w:t>
      </w:r>
      <w:r w:rsidRPr="002C7CB0">
        <w:t xml:space="preserve">.  If this extra return is not achieved, the shortfall will ultimately need to be met by increased contributions from the </w:t>
      </w:r>
      <w:r w:rsidR="003D2E3C">
        <w:t>E</w:t>
      </w:r>
      <w:r w:rsidRPr="002C7CB0">
        <w:t>mployers.</w:t>
      </w:r>
      <w:r>
        <w:t xml:space="preserve">  </w:t>
      </w:r>
      <w:r w:rsidRPr="002C7CB0">
        <w:t xml:space="preserve">Both the </w:t>
      </w:r>
      <w:r>
        <w:t>Methodist Council</w:t>
      </w:r>
      <w:r w:rsidR="002A5B17">
        <w:t xml:space="preserve">, the </w:t>
      </w:r>
      <w:r w:rsidR="002A5B17">
        <w:rPr>
          <w:spacing w:val="-3"/>
        </w:rPr>
        <w:t>Central Finance Board</w:t>
      </w:r>
      <w:r w:rsidR="009D03C6">
        <w:t xml:space="preserve"> and the other participating employers</w:t>
      </w:r>
      <w:r w:rsidRPr="002C7CB0">
        <w:t xml:space="preserve"> and the Trustee appreciate</w:t>
      </w:r>
      <w:r>
        <w:t>s</w:t>
      </w:r>
      <w:r w:rsidRPr="002C7CB0">
        <w:t xml:space="preserve"> that the contributions required can be volatile.</w:t>
      </w:r>
    </w:p>
    <w:p w:rsidR="00C12EF7" w:rsidRPr="002C7CB0" w:rsidRDefault="00C12EF7" w:rsidP="00C12EF7">
      <w:pPr>
        <w:pStyle w:val="BulletText1"/>
        <w:numPr>
          <w:ilvl w:val="0"/>
          <w:numId w:val="0"/>
        </w:numPr>
        <w:ind w:left="709"/>
      </w:pPr>
      <w:r w:rsidRPr="002C7CB0">
        <w:t>The Trustee regularly review</w:t>
      </w:r>
      <w:r>
        <w:t>s</w:t>
      </w:r>
      <w:r w:rsidRPr="002C7CB0">
        <w:t xml:space="preserve"> the</w:t>
      </w:r>
      <w:r>
        <w:t xml:space="preserve"> Scheme</w:t>
      </w:r>
      <w:r w:rsidRPr="002C7CB0">
        <w:t>’s investment strategy taking into account the</w:t>
      </w:r>
      <w:r>
        <w:t xml:space="preserve"> fund</w:t>
      </w:r>
      <w:r w:rsidRPr="002C7CB0">
        <w:t xml:space="preserve">ing position and liability profile.  The Trustee will consult fully with the </w:t>
      </w:r>
      <w:r>
        <w:t>Methodist Council</w:t>
      </w:r>
      <w:r w:rsidRPr="002C7CB0">
        <w:t xml:space="preserve"> before any changes are made to the investment strategy.</w:t>
      </w:r>
    </w:p>
    <w:p w:rsidR="00C12EF7" w:rsidRPr="002C7CB0" w:rsidRDefault="00C12EF7" w:rsidP="00C47EAD">
      <w:pPr>
        <w:pStyle w:val="Heading1"/>
        <w:numPr>
          <w:ilvl w:val="0"/>
          <w:numId w:val="40"/>
        </w:numPr>
        <w:ind w:hanging="720"/>
      </w:pPr>
      <w:r w:rsidRPr="002C7CB0">
        <w:t>Risks</w:t>
      </w:r>
    </w:p>
    <w:p w:rsidR="00C12EF7" w:rsidRDefault="00C12EF7" w:rsidP="00C12EF7">
      <w:pPr>
        <w:pStyle w:val="text"/>
        <w:ind w:left="720"/>
      </w:pPr>
      <w:r w:rsidRPr="002C7CB0">
        <w:t>The Trustee</w:t>
      </w:r>
      <w:r w:rsidR="002C3C30">
        <w:t>,</w:t>
      </w:r>
      <w:r w:rsidRPr="002C7CB0">
        <w:t xml:space="preserve"> the </w:t>
      </w:r>
      <w:r>
        <w:t>Methodist Council</w:t>
      </w:r>
      <w:r w:rsidR="002A5B17">
        <w:t xml:space="preserve">, the </w:t>
      </w:r>
      <w:r w:rsidR="002A5B17">
        <w:rPr>
          <w:spacing w:val="-3"/>
        </w:rPr>
        <w:t>Central Finance Board</w:t>
      </w:r>
      <w:r w:rsidRPr="002C7CB0">
        <w:t xml:space="preserve"> </w:t>
      </w:r>
      <w:r w:rsidR="009D03C6">
        <w:t xml:space="preserve">and the other participating employers </w:t>
      </w:r>
      <w:r w:rsidRPr="002C7CB0">
        <w:t>recognise that there are a number of risks inherent in the</w:t>
      </w:r>
      <w:r>
        <w:t xml:space="preserve"> funding</w:t>
      </w:r>
      <w:r w:rsidRPr="002C7CB0">
        <w:t xml:space="preserve"> plan and that additional</w:t>
      </w:r>
      <w:r>
        <w:t xml:space="preserve"> funding</w:t>
      </w:r>
      <w:r w:rsidRPr="002C7CB0">
        <w:t xml:space="preserve"> may be required at future valuations if the experience of the</w:t>
      </w:r>
      <w:r>
        <w:t xml:space="preserve"> Scheme</w:t>
      </w:r>
      <w:r w:rsidRPr="002C7CB0">
        <w:t xml:space="preserve"> is not in line with the assumptions made.  In addition to the investment risk detailed above, </w:t>
      </w:r>
      <w:r w:rsidR="009D03C6">
        <w:t>there is also the</w:t>
      </w:r>
      <w:r>
        <w:t xml:space="preserve"> longevity </w:t>
      </w:r>
      <w:r w:rsidRPr="002C7CB0">
        <w:t>risk.</w:t>
      </w:r>
      <w:r w:rsidR="009D03C6">
        <w:t xml:space="preserve">  </w:t>
      </w:r>
      <w:r w:rsidRPr="002C7CB0">
        <w:t>Future improvements in life expectancy may be greater than anticipated. In setting the</w:t>
      </w:r>
      <w:r>
        <w:t xml:space="preserve"> Scheme</w:t>
      </w:r>
      <w:r w:rsidRPr="002C7CB0">
        <w:t>’s</w:t>
      </w:r>
      <w:r>
        <w:t xml:space="preserve"> funding</w:t>
      </w:r>
      <w:r w:rsidRPr="002C7CB0">
        <w:t xml:space="preserve"> target, mortality assumptions are made based on wider population statistics and adjusted to make some allowance for future improvements in longevity.  The mortality assumptions are reviewed </w:t>
      </w:r>
      <w:r w:rsidR="000D6F4C">
        <w:t>as part of</w:t>
      </w:r>
      <w:r w:rsidRPr="002C7CB0">
        <w:t xml:space="preserve"> formal triennial actuarial valuations.</w:t>
      </w:r>
    </w:p>
    <w:p w:rsidR="003D2E3C" w:rsidRDefault="003D2E3C" w:rsidP="00C12EF7">
      <w:pPr>
        <w:pStyle w:val="text"/>
        <w:ind w:left="720"/>
      </w:pPr>
    </w:p>
    <w:p w:rsidR="003D2E3C" w:rsidRDefault="003D2E3C">
      <w:pPr>
        <w:overflowPunct/>
        <w:autoSpaceDE/>
        <w:autoSpaceDN/>
        <w:adjustRightInd/>
        <w:jc w:val="left"/>
        <w:textAlignment w:val="auto"/>
      </w:pPr>
      <w:r>
        <w:br w:type="page"/>
      </w:r>
    </w:p>
    <w:p w:rsidR="008006EB" w:rsidRPr="008006EB" w:rsidRDefault="008006EB" w:rsidP="008006EB">
      <w:pPr>
        <w:pStyle w:val="text"/>
        <w:rPr>
          <w:b/>
        </w:rPr>
      </w:pPr>
      <w:r w:rsidRPr="008006EB">
        <w:rPr>
          <w:b/>
        </w:rPr>
        <w:lastRenderedPageBreak/>
        <w:t>This statement has been agreed by</w:t>
      </w:r>
      <w:r w:rsidR="002A5B17">
        <w:rPr>
          <w:b/>
        </w:rPr>
        <w:t xml:space="preserve"> the </w:t>
      </w:r>
      <w:r w:rsidR="002A5B17" w:rsidRPr="002A5B17">
        <w:rPr>
          <w:b/>
          <w:spacing w:val="-3"/>
        </w:rPr>
        <w:t>Central Finance Board</w:t>
      </w:r>
      <w:r w:rsidR="002A5B17">
        <w:rPr>
          <w:b/>
        </w:rPr>
        <w:t xml:space="preserve"> and</w:t>
      </w:r>
      <w:r w:rsidRPr="008006EB">
        <w:rPr>
          <w:b/>
        </w:rPr>
        <w:t xml:space="preserve"> the </w:t>
      </w:r>
      <w:r w:rsidR="00D614D3">
        <w:rPr>
          <w:b/>
        </w:rPr>
        <w:t>Methodist Council</w:t>
      </w:r>
      <w:r w:rsidR="000D6F4C">
        <w:rPr>
          <w:b/>
        </w:rPr>
        <w:t xml:space="preserve"> on behalf of the participating employers</w:t>
      </w:r>
      <w:r w:rsidR="009D03C6">
        <w:rPr>
          <w:b/>
        </w:rPr>
        <w:t xml:space="preserve"> other than the Central Finance Board</w:t>
      </w:r>
      <w:r w:rsidR="00F53CCF">
        <w:rPr>
          <w:b/>
        </w:rPr>
        <w:t>:</w:t>
      </w:r>
    </w:p>
    <w:p w:rsidR="008006EB" w:rsidRPr="008006EB" w:rsidRDefault="008006EB" w:rsidP="008006EB">
      <w:pPr>
        <w:pStyle w:val="text"/>
      </w:pPr>
      <w:r w:rsidRPr="008006EB">
        <w:t xml:space="preserve">Signed on behalf of the </w:t>
      </w:r>
      <w:r w:rsidR="00D614D3">
        <w:t>Methodist Council</w:t>
      </w:r>
    </w:p>
    <w:p w:rsidR="008006EB" w:rsidRPr="008006EB" w:rsidRDefault="008006EB" w:rsidP="008006EB">
      <w:pPr>
        <w:pStyle w:val="text"/>
      </w:pPr>
      <w:r w:rsidRPr="008006EB">
        <w:t>Name:</w:t>
      </w:r>
    </w:p>
    <w:p w:rsidR="008006EB" w:rsidRPr="008006EB" w:rsidRDefault="008006EB" w:rsidP="008006EB">
      <w:pPr>
        <w:pStyle w:val="text"/>
      </w:pPr>
      <w:r w:rsidRPr="008006EB">
        <w:t>Position:</w:t>
      </w:r>
    </w:p>
    <w:p w:rsidR="008006EB" w:rsidRDefault="008006EB" w:rsidP="008006EB">
      <w:pPr>
        <w:pStyle w:val="text"/>
      </w:pPr>
      <w:r w:rsidRPr="008006EB">
        <w:t>Date:</w:t>
      </w:r>
    </w:p>
    <w:p w:rsidR="009D03C6" w:rsidRPr="008006EB" w:rsidRDefault="009D03C6" w:rsidP="009D03C6">
      <w:pPr>
        <w:pStyle w:val="text"/>
      </w:pPr>
      <w:r w:rsidRPr="008006EB">
        <w:t xml:space="preserve">Signed on behalf of the </w:t>
      </w:r>
      <w:r>
        <w:t>Central Finance Board</w:t>
      </w:r>
    </w:p>
    <w:p w:rsidR="009D03C6" w:rsidRPr="008006EB" w:rsidRDefault="009D03C6" w:rsidP="009D03C6">
      <w:pPr>
        <w:pStyle w:val="text"/>
      </w:pPr>
      <w:r w:rsidRPr="008006EB">
        <w:t>Name:</w:t>
      </w:r>
    </w:p>
    <w:p w:rsidR="009D03C6" w:rsidRPr="008006EB" w:rsidRDefault="009D03C6" w:rsidP="009D03C6">
      <w:pPr>
        <w:pStyle w:val="text"/>
      </w:pPr>
      <w:r w:rsidRPr="008006EB">
        <w:t>Position:</w:t>
      </w:r>
    </w:p>
    <w:p w:rsidR="009D03C6" w:rsidRDefault="009D03C6" w:rsidP="009D03C6">
      <w:pPr>
        <w:pStyle w:val="text"/>
      </w:pPr>
      <w:r w:rsidRPr="008006EB">
        <w:t>Date:</w:t>
      </w:r>
    </w:p>
    <w:p w:rsidR="008006EB" w:rsidRPr="008006EB" w:rsidRDefault="008006EB" w:rsidP="00C12EF7">
      <w:pPr>
        <w:pStyle w:val="text"/>
        <w:rPr>
          <w:b/>
        </w:rPr>
      </w:pPr>
      <w:r w:rsidRPr="008006EB">
        <w:rPr>
          <w:b/>
        </w:rPr>
        <w:t xml:space="preserve">This statement was agreed by the Trustee at their meeting on </w:t>
      </w:r>
      <w:r w:rsidR="009D03C6">
        <w:rPr>
          <w:b/>
        </w:rPr>
        <w:t>5</w:t>
      </w:r>
      <w:r w:rsidR="00C2309A">
        <w:rPr>
          <w:b/>
        </w:rPr>
        <w:t xml:space="preserve"> March </w:t>
      </w:r>
      <w:r w:rsidR="009D03C6">
        <w:rPr>
          <w:b/>
        </w:rPr>
        <w:t>201</w:t>
      </w:r>
      <w:r w:rsidR="00615E67">
        <w:rPr>
          <w:b/>
        </w:rPr>
        <w:t>5</w:t>
      </w:r>
      <w:r w:rsidR="00C12EF7">
        <w:rPr>
          <w:b/>
        </w:rPr>
        <w:t>:</w:t>
      </w:r>
    </w:p>
    <w:p w:rsidR="008006EB" w:rsidRPr="008006EB" w:rsidRDefault="008006EB" w:rsidP="00F53CCF">
      <w:pPr>
        <w:pStyle w:val="text"/>
        <w:jc w:val="left"/>
      </w:pPr>
      <w:r w:rsidRPr="008006EB">
        <w:t xml:space="preserve">Signed on behalf of the Trustee of the </w:t>
      </w:r>
      <w:r w:rsidR="00F53CCF">
        <w:t xml:space="preserve">Pension and Assurance Scheme for Lay Employees of the </w:t>
      </w:r>
      <w:smartTag w:uri="urn:schemas-microsoft-com:office:smarttags" w:element="place">
        <w:smartTag w:uri="urn:schemas-microsoft-com:office:smarttags" w:element="PlaceName">
          <w:r w:rsidR="00F53CCF">
            <w:t>Methodist</w:t>
          </w:r>
        </w:smartTag>
        <w:r w:rsidR="00F53CCF">
          <w:t xml:space="preserve"> </w:t>
        </w:r>
        <w:smartTag w:uri="urn:schemas-microsoft-com:office:smarttags" w:element="PlaceType">
          <w:r w:rsidR="00F53CCF">
            <w:t>Church</w:t>
          </w:r>
        </w:smartTag>
      </w:smartTag>
    </w:p>
    <w:p w:rsidR="008006EB" w:rsidRPr="008006EB" w:rsidRDefault="008006EB" w:rsidP="00F53CCF">
      <w:pPr>
        <w:pStyle w:val="text"/>
        <w:tabs>
          <w:tab w:val="left" w:pos="1000"/>
        </w:tabs>
      </w:pPr>
      <w:r w:rsidRPr="008006EB">
        <w:t>Name:</w:t>
      </w:r>
    </w:p>
    <w:p w:rsidR="008006EB" w:rsidRPr="008006EB" w:rsidRDefault="008006EB" w:rsidP="00F53CCF">
      <w:pPr>
        <w:pStyle w:val="text"/>
        <w:tabs>
          <w:tab w:val="left" w:pos="1000"/>
        </w:tabs>
      </w:pPr>
      <w:r w:rsidRPr="008006EB">
        <w:t>Position:</w:t>
      </w:r>
      <w:r w:rsidR="00F53CCF">
        <w:tab/>
      </w:r>
      <w:r w:rsidRPr="008006EB">
        <w:t>Trustee</w:t>
      </w:r>
    </w:p>
    <w:p w:rsidR="008006EB" w:rsidRPr="008006EB" w:rsidRDefault="008006EB" w:rsidP="00F53CCF">
      <w:pPr>
        <w:pStyle w:val="text"/>
        <w:tabs>
          <w:tab w:val="left" w:pos="1000"/>
        </w:tabs>
      </w:pPr>
      <w:r w:rsidRPr="008006EB">
        <w:t>Date:</w:t>
      </w:r>
    </w:p>
    <w:p w:rsidR="000D6F4C" w:rsidRPr="008006EB" w:rsidRDefault="000D6F4C" w:rsidP="000D6F4C">
      <w:pPr>
        <w:pStyle w:val="text"/>
        <w:tabs>
          <w:tab w:val="left" w:pos="1000"/>
        </w:tabs>
        <w:rPr>
          <w:b/>
        </w:rPr>
      </w:pPr>
      <w:r w:rsidRPr="008006EB">
        <w:rPr>
          <w:b/>
        </w:rPr>
        <w:t xml:space="preserve">This statement has been agreed by the Trustee after obtaining actuarial advice from </w:t>
      </w:r>
      <w:r w:rsidR="002C3C30">
        <w:rPr>
          <w:b/>
        </w:rPr>
        <w:t>the Scheme Actuary</w:t>
      </w:r>
      <w:r w:rsidRPr="008006EB">
        <w:rPr>
          <w:b/>
        </w:rPr>
        <w:t>:</w:t>
      </w:r>
    </w:p>
    <w:p w:rsidR="000D6F4C" w:rsidRPr="008006EB" w:rsidRDefault="000D6F4C" w:rsidP="000D6F4C">
      <w:pPr>
        <w:pStyle w:val="text"/>
        <w:tabs>
          <w:tab w:val="left" w:pos="1000"/>
        </w:tabs>
      </w:pPr>
      <w:r w:rsidRPr="008006EB">
        <w:t>Signed:</w:t>
      </w:r>
    </w:p>
    <w:p w:rsidR="000D6F4C" w:rsidRPr="008006EB" w:rsidRDefault="000D6F4C" w:rsidP="000D6F4C">
      <w:pPr>
        <w:pStyle w:val="text"/>
        <w:tabs>
          <w:tab w:val="left" w:pos="1000"/>
        </w:tabs>
      </w:pPr>
      <w:r w:rsidRPr="008006EB">
        <w:t>Name:</w:t>
      </w:r>
      <w:r w:rsidRPr="008006EB">
        <w:tab/>
      </w:r>
      <w:r>
        <w:t>Diana Simon</w:t>
      </w:r>
      <w:r w:rsidRPr="008006EB">
        <w:t>, FIA</w:t>
      </w:r>
    </w:p>
    <w:p w:rsidR="000D6F4C" w:rsidRPr="008006EB" w:rsidRDefault="000D6F4C" w:rsidP="000D6F4C">
      <w:pPr>
        <w:pStyle w:val="text"/>
        <w:tabs>
          <w:tab w:val="left" w:pos="1000"/>
        </w:tabs>
        <w:ind w:left="1000" w:hanging="1000"/>
      </w:pPr>
      <w:r w:rsidRPr="008006EB">
        <w:t>Position:</w:t>
      </w:r>
      <w:r w:rsidRPr="008006EB">
        <w:tab/>
        <w:t xml:space="preserve">Actuary to the </w:t>
      </w:r>
      <w:r>
        <w:t xml:space="preserve">Pension and Assurance Scheme for Lay Employees of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p>
    <w:p w:rsidR="000D6F4C" w:rsidRDefault="000D6F4C" w:rsidP="000D6F4C">
      <w:pPr>
        <w:pStyle w:val="text"/>
        <w:tabs>
          <w:tab w:val="left" w:pos="1000"/>
        </w:tabs>
      </w:pPr>
      <w:r w:rsidRPr="008006EB">
        <w:t>Date:</w:t>
      </w:r>
    </w:p>
    <w:p w:rsidR="008006EB" w:rsidRPr="008006EB" w:rsidRDefault="000D6F4C" w:rsidP="000D6F4C">
      <w:pPr>
        <w:pStyle w:val="text"/>
        <w:rPr>
          <w:b/>
          <w:u w:val="single"/>
          <w:lang w:val="en-US"/>
        </w:rPr>
      </w:pPr>
      <w:r>
        <w:br w:type="page"/>
      </w:r>
      <w:r w:rsidR="008006EB" w:rsidRPr="008006EB">
        <w:rPr>
          <w:b/>
          <w:u w:val="single"/>
          <w:lang w:val="en-US"/>
        </w:rPr>
        <w:lastRenderedPageBreak/>
        <w:t>APPENDIX 1</w:t>
      </w:r>
    </w:p>
    <w:p w:rsidR="008006EB" w:rsidRPr="008006EB" w:rsidRDefault="008006EB" w:rsidP="008006EB">
      <w:pPr>
        <w:pStyle w:val="text"/>
        <w:rPr>
          <w:b/>
          <w:u w:val="single"/>
          <w:lang w:val="en-US"/>
        </w:rPr>
      </w:pPr>
      <w:r w:rsidRPr="008006EB">
        <w:rPr>
          <w:b/>
          <w:u w:val="single"/>
          <w:lang w:val="en-US"/>
        </w:rPr>
        <w:t>Current investment strategy</w:t>
      </w:r>
    </w:p>
    <w:p w:rsidR="008006EB" w:rsidRPr="008006EB" w:rsidRDefault="008006EB" w:rsidP="00D614D3">
      <w:pPr>
        <w:pStyle w:val="text"/>
        <w:spacing w:after="240"/>
        <w:rPr>
          <w:lang w:val="en-US"/>
        </w:rPr>
      </w:pPr>
      <w:r w:rsidRPr="008006EB">
        <w:rPr>
          <w:lang w:val="en-US"/>
        </w:rPr>
        <w:t xml:space="preserve">The long term target asset allocation is </w:t>
      </w:r>
      <w:r w:rsidR="009D03C6">
        <w:rPr>
          <w:lang w:val="en-US"/>
        </w:rPr>
        <w:t xml:space="preserve">currently </w:t>
      </w:r>
      <w:r w:rsidRPr="008006EB">
        <w:rPr>
          <w:lang w:val="en-US"/>
        </w:rPr>
        <w:t>as follows:</w:t>
      </w:r>
    </w:p>
    <w:tbl>
      <w:tblPr>
        <w:tblW w:w="9018" w:type="dxa"/>
        <w:tblInd w:w="1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4818"/>
        <w:gridCol w:w="4200"/>
      </w:tblGrid>
      <w:tr w:rsidR="008006EB" w:rsidRPr="008006EB" w:rsidTr="0040428F">
        <w:trPr>
          <w:cantSplit/>
        </w:trPr>
        <w:tc>
          <w:tcPr>
            <w:tcW w:w="4818" w:type="dxa"/>
            <w:tcBorders>
              <w:top w:val="single" w:sz="4" w:space="0" w:color="auto"/>
              <w:left w:val="single" w:sz="4" w:space="0" w:color="auto"/>
              <w:bottom w:val="single" w:sz="6" w:space="0" w:color="auto"/>
            </w:tcBorders>
            <w:shd w:val="clear" w:color="auto" w:fill="auto"/>
          </w:tcPr>
          <w:p w:rsidR="008006EB" w:rsidRPr="008006EB" w:rsidRDefault="008006EB" w:rsidP="00D614D3">
            <w:pPr>
              <w:pStyle w:val="TableHeading"/>
            </w:pPr>
            <w:r w:rsidRPr="008006EB">
              <w:t xml:space="preserve">Benchmark </w:t>
            </w:r>
            <w:r w:rsidR="003D2E3C" w:rsidRPr="008006EB">
              <w:t>asset allocation</w:t>
            </w:r>
          </w:p>
        </w:tc>
        <w:tc>
          <w:tcPr>
            <w:tcW w:w="4200" w:type="dxa"/>
            <w:tcBorders>
              <w:top w:val="single" w:sz="4" w:space="0" w:color="auto"/>
              <w:bottom w:val="single" w:sz="6" w:space="0" w:color="auto"/>
              <w:right w:val="single" w:sz="4" w:space="0" w:color="auto"/>
            </w:tcBorders>
            <w:shd w:val="clear" w:color="auto" w:fill="auto"/>
          </w:tcPr>
          <w:p w:rsidR="008006EB" w:rsidRPr="008006EB" w:rsidRDefault="008006EB" w:rsidP="00D614D3">
            <w:pPr>
              <w:pStyle w:val="TableHeading"/>
            </w:pPr>
            <w:r w:rsidRPr="008006EB">
              <w:t xml:space="preserve">Long </w:t>
            </w:r>
            <w:r w:rsidR="003D2E3C" w:rsidRPr="008006EB">
              <w:t>term benchmark asset allocation</w:t>
            </w:r>
          </w:p>
          <w:p w:rsidR="008006EB" w:rsidRPr="008006EB" w:rsidRDefault="008006EB" w:rsidP="00D614D3">
            <w:pPr>
              <w:pStyle w:val="TableHeading"/>
            </w:pPr>
            <w:r w:rsidRPr="008006EB">
              <w:t>%</w:t>
            </w:r>
          </w:p>
        </w:tc>
      </w:tr>
      <w:tr w:rsidR="008006EB" w:rsidRPr="008006EB" w:rsidTr="0040428F">
        <w:trPr>
          <w:cantSplit/>
        </w:trPr>
        <w:tc>
          <w:tcPr>
            <w:tcW w:w="4818" w:type="dxa"/>
            <w:tcBorders>
              <w:top w:val="single" w:sz="6" w:space="0" w:color="auto"/>
              <w:left w:val="single" w:sz="4" w:space="0" w:color="auto"/>
            </w:tcBorders>
          </w:tcPr>
          <w:p w:rsidR="008006EB" w:rsidRPr="008006EB" w:rsidRDefault="008006EB" w:rsidP="00D614D3">
            <w:pPr>
              <w:pStyle w:val="TableText"/>
            </w:pPr>
            <w:r w:rsidRPr="008006EB">
              <w:t>Equity investment</w:t>
            </w:r>
          </w:p>
        </w:tc>
        <w:tc>
          <w:tcPr>
            <w:tcW w:w="4200" w:type="dxa"/>
            <w:tcBorders>
              <w:top w:val="single" w:sz="6" w:space="0" w:color="auto"/>
              <w:right w:val="single" w:sz="4" w:space="0" w:color="auto"/>
            </w:tcBorders>
          </w:tcPr>
          <w:p w:rsidR="008006EB" w:rsidRPr="008006EB" w:rsidRDefault="00D614D3" w:rsidP="00615E67">
            <w:pPr>
              <w:pStyle w:val="TableText"/>
              <w:tabs>
                <w:tab w:val="right" w:pos="2092"/>
              </w:tabs>
            </w:pPr>
            <w:r>
              <w:tab/>
            </w:r>
            <w:r w:rsidR="009D03C6">
              <w:t>58</w:t>
            </w:r>
          </w:p>
        </w:tc>
      </w:tr>
      <w:tr w:rsidR="008006EB" w:rsidRPr="008006EB" w:rsidTr="0040428F">
        <w:trPr>
          <w:cantSplit/>
        </w:trPr>
        <w:tc>
          <w:tcPr>
            <w:tcW w:w="4818" w:type="dxa"/>
            <w:tcBorders>
              <w:top w:val="single" w:sz="6" w:space="0" w:color="auto"/>
              <w:left w:val="single" w:sz="4" w:space="0" w:color="auto"/>
            </w:tcBorders>
          </w:tcPr>
          <w:p w:rsidR="008006EB" w:rsidRPr="008006EB" w:rsidRDefault="008006EB" w:rsidP="00D614D3">
            <w:pPr>
              <w:pStyle w:val="TableText"/>
            </w:pPr>
            <w:r w:rsidRPr="008006EB">
              <w:t>Bond investment</w:t>
            </w:r>
          </w:p>
        </w:tc>
        <w:tc>
          <w:tcPr>
            <w:tcW w:w="4200" w:type="dxa"/>
            <w:tcBorders>
              <w:top w:val="single" w:sz="6" w:space="0" w:color="auto"/>
              <w:right w:val="single" w:sz="4" w:space="0" w:color="auto"/>
            </w:tcBorders>
          </w:tcPr>
          <w:p w:rsidR="008006EB" w:rsidRPr="008006EB" w:rsidRDefault="00D614D3" w:rsidP="00615E67">
            <w:pPr>
              <w:pStyle w:val="TableText"/>
              <w:tabs>
                <w:tab w:val="right" w:pos="2092"/>
              </w:tabs>
            </w:pPr>
            <w:r>
              <w:tab/>
            </w:r>
            <w:r w:rsidR="009D03C6">
              <w:t>34</w:t>
            </w:r>
          </w:p>
        </w:tc>
      </w:tr>
      <w:tr w:rsidR="008006EB" w:rsidRPr="008006EB" w:rsidTr="0040428F">
        <w:trPr>
          <w:cantSplit/>
        </w:trPr>
        <w:tc>
          <w:tcPr>
            <w:tcW w:w="4818" w:type="dxa"/>
            <w:tcBorders>
              <w:top w:val="single" w:sz="6" w:space="0" w:color="auto"/>
              <w:left w:val="single" w:sz="4" w:space="0" w:color="auto"/>
              <w:bottom w:val="nil"/>
            </w:tcBorders>
          </w:tcPr>
          <w:p w:rsidR="008006EB" w:rsidRPr="008006EB" w:rsidRDefault="008006EB" w:rsidP="00D614D3">
            <w:pPr>
              <w:pStyle w:val="TableText"/>
            </w:pPr>
            <w:r w:rsidRPr="008006EB">
              <w:t>Property investment</w:t>
            </w:r>
          </w:p>
        </w:tc>
        <w:tc>
          <w:tcPr>
            <w:tcW w:w="4200" w:type="dxa"/>
            <w:tcBorders>
              <w:top w:val="single" w:sz="6" w:space="0" w:color="auto"/>
              <w:bottom w:val="nil"/>
              <w:right w:val="single" w:sz="4" w:space="0" w:color="auto"/>
            </w:tcBorders>
          </w:tcPr>
          <w:p w:rsidR="008006EB" w:rsidRPr="008006EB" w:rsidRDefault="00615E67" w:rsidP="00615E67">
            <w:pPr>
              <w:pStyle w:val="TableText"/>
              <w:tabs>
                <w:tab w:val="right" w:pos="2092"/>
              </w:tabs>
              <w:jc w:val="left"/>
            </w:pPr>
            <w:r>
              <w:tab/>
            </w:r>
            <w:r w:rsidR="009D03C6">
              <w:t>8</w:t>
            </w:r>
          </w:p>
        </w:tc>
      </w:tr>
      <w:tr w:rsidR="008006EB" w:rsidRPr="008006EB" w:rsidTr="0040428F">
        <w:trPr>
          <w:cantSplit/>
        </w:trPr>
        <w:tc>
          <w:tcPr>
            <w:tcW w:w="4818" w:type="dxa"/>
            <w:tcBorders>
              <w:top w:val="single" w:sz="6" w:space="0" w:color="auto"/>
              <w:left w:val="single" w:sz="4" w:space="0" w:color="auto"/>
              <w:bottom w:val="single" w:sz="4" w:space="0" w:color="auto"/>
            </w:tcBorders>
          </w:tcPr>
          <w:p w:rsidR="008006EB" w:rsidRPr="008006EB" w:rsidRDefault="008006EB" w:rsidP="00D614D3">
            <w:pPr>
              <w:pStyle w:val="TableText"/>
            </w:pPr>
            <w:r w:rsidRPr="008006EB">
              <w:t>Cash</w:t>
            </w:r>
          </w:p>
        </w:tc>
        <w:tc>
          <w:tcPr>
            <w:tcW w:w="4200" w:type="dxa"/>
            <w:tcBorders>
              <w:top w:val="single" w:sz="6" w:space="0" w:color="auto"/>
              <w:bottom w:val="single" w:sz="4" w:space="0" w:color="auto"/>
              <w:right w:val="single" w:sz="4" w:space="0" w:color="auto"/>
            </w:tcBorders>
          </w:tcPr>
          <w:p w:rsidR="008006EB" w:rsidRPr="008006EB" w:rsidRDefault="00D614D3" w:rsidP="00615E67">
            <w:pPr>
              <w:pStyle w:val="TableText"/>
              <w:tabs>
                <w:tab w:val="right" w:pos="2092"/>
              </w:tabs>
              <w:jc w:val="left"/>
            </w:pPr>
            <w:r>
              <w:tab/>
              <w:t>0</w:t>
            </w:r>
          </w:p>
        </w:tc>
      </w:tr>
    </w:tbl>
    <w:p w:rsidR="008006EB" w:rsidRPr="008006EB" w:rsidRDefault="008006EB" w:rsidP="008006EB">
      <w:pPr>
        <w:pStyle w:val="text"/>
        <w:rPr>
          <w:b/>
          <w:u w:val="single"/>
          <w:lang w:val="en-US"/>
        </w:rPr>
      </w:pPr>
      <w:r w:rsidRPr="008006EB">
        <w:br w:type="page"/>
      </w:r>
      <w:r w:rsidRPr="008006EB">
        <w:rPr>
          <w:b/>
          <w:u w:val="single"/>
          <w:lang w:val="en-US"/>
        </w:rPr>
        <w:lastRenderedPageBreak/>
        <w:t>APPENDIX 2</w:t>
      </w:r>
    </w:p>
    <w:p w:rsidR="008006EB" w:rsidRPr="008006EB" w:rsidRDefault="008006EB" w:rsidP="00C2309A">
      <w:pPr>
        <w:pStyle w:val="text"/>
        <w:spacing w:after="240"/>
        <w:rPr>
          <w:b/>
          <w:lang w:val="en-US"/>
        </w:rPr>
      </w:pPr>
      <w:r w:rsidRPr="008006EB">
        <w:rPr>
          <w:b/>
          <w:u w:val="single"/>
          <w:lang w:val="en-US"/>
        </w:rPr>
        <w:t xml:space="preserve">Economic </w:t>
      </w:r>
      <w:r w:rsidR="003D2E3C" w:rsidRPr="008006EB">
        <w:rPr>
          <w:b/>
          <w:u w:val="single"/>
          <w:lang w:val="en-US"/>
        </w:rPr>
        <w:t>assumptions as at the valuation date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1E0"/>
      </w:tblPr>
      <w:tblGrid>
        <w:gridCol w:w="5975"/>
        <w:gridCol w:w="3160"/>
      </w:tblGrid>
      <w:tr w:rsidR="008006EB" w:rsidRPr="008006EB" w:rsidTr="005A0736">
        <w:tc>
          <w:tcPr>
            <w:tcW w:w="5975" w:type="dxa"/>
            <w:tcBorders>
              <w:top w:val="single" w:sz="4" w:space="0" w:color="auto"/>
              <w:left w:val="single" w:sz="4" w:space="0" w:color="auto"/>
              <w:bottom w:val="single" w:sz="4" w:space="0" w:color="auto"/>
            </w:tcBorders>
          </w:tcPr>
          <w:p w:rsidR="008006EB" w:rsidRPr="008006EB" w:rsidRDefault="008006EB" w:rsidP="00C2309A">
            <w:pPr>
              <w:pStyle w:val="text"/>
              <w:spacing w:before="120"/>
              <w:rPr>
                <w:b/>
              </w:rPr>
            </w:pPr>
            <w:r w:rsidRPr="008006EB">
              <w:rPr>
                <w:b/>
              </w:rPr>
              <w:t>Valuation date</w:t>
            </w:r>
          </w:p>
        </w:tc>
        <w:tc>
          <w:tcPr>
            <w:tcW w:w="3160" w:type="dxa"/>
            <w:tcBorders>
              <w:top w:val="single" w:sz="4" w:space="0" w:color="auto"/>
              <w:bottom w:val="single" w:sz="4" w:space="0" w:color="auto"/>
              <w:right w:val="single" w:sz="4" w:space="0" w:color="auto"/>
            </w:tcBorders>
          </w:tcPr>
          <w:p w:rsidR="008006EB" w:rsidRPr="008006EB" w:rsidRDefault="005A0736" w:rsidP="00C2309A">
            <w:pPr>
              <w:pStyle w:val="text"/>
              <w:spacing w:before="120"/>
              <w:rPr>
                <w:b/>
              </w:rPr>
            </w:pPr>
            <w:r>
              <w:rPr>
                <w:b/>
              </w:rPr>
              <w:t xml:space="preserve">1 </w:t>
            </w:r>
            <w:r w:rsidRPr="005A0736">
              <w:rPr>
                <w:b/>
              </w:rPr>
              <w:t>September</w:t>
            </w:r>
            <w:r>
              <w:rPr>
                <w:b/>
              </w:rPr>
              <w:t xml:space="preserve"> 20</w:t>
            </w:r>
            <w:r w:rsidR="0012280B">
              <w:rPr>
                <w:b/>
              </w:rPr>
              <w:t>1</w:t>
            </w:r>
            <w:r w:rsidR="009D03C6">
              <w:rPr>
                <w:b/>
              </w:rPr>
              <w:t>4</w:t>
            </w:r>
          </w:p>
        </w:tc>
      </w:tr>
    </w:tbl>
    <w:p w:rsidR="008006EB" w:rsidRPr="008006EB" w:rsidRDefault="008006EB" w:rsidP="008006EB">
      <w:pPr>
        <w:pStyle w:val="text"/>
        <w:rPr>
          <w:b/>
        </w:rPr>
      </w:pPr>
      <w:r w:rsidRPr="008006EB">
        <w:rPr>
          <w:b/>
        </w:rPr>
        <w:t xml:space="preserve">Discount </w:t>
      </w:r>
      <w:r w:rsidR="003D2E3C" w:rsidRPr="008006EB">
        <w:rPr>
          <w:b/>
        </w:rPr>
        <w:t>r</w:t>
      </w:r>
      <w:r w:rsidRPr="008006EB">
        <w:rPr>
          <w:b/>
        </w:rPr>
        <w:t>ate</w:t>
      </w:r>
    </w:p>
    <w:p w:rsidR="008006EB" w:rsidRPr="008006EB" w:rsidRDefault="008006EB" w:rsidP="00C12EF7">
      <w:pPr>
        <w:pStyle w:val="text"/>
        <w:rPr>
          <w:b/>
        </w:rPr>
      </w:pPr>
      <w:r w:rsidRPr="008006EB">
        <w:t xml:space="preserve">The discount rate used to value the liabilities (before adjustments) is determined </w:t>
      </w:r>
      <w:r w:rsidR="00C12EF7">
        <w:t xml:space="preserve">as the annual nominal spot rate provided by the Bank of England as at the valuation date, calculated at the mean </w:t>
      </w:r>
      <w:r w:rsidR="000D6F4C">
        <w:t>duration</w:t>
      </w:r>
      <w:r w:rsidR="00C12EF7">
        <w:t xml:space="preserve"> of the Scheme’s liabilities.</w:t>
      </w:r>
    </w:p>
    <w:p w:rsidR="008006EB" w:rsidRPr="008006EB" w:rsidRDefault="008006EB" w:rsidP="008006EB">
      <w:pPr>
        <w:pStyle w:val="text"/>
        <w:rPr>
          <w:b/>
        </w:rPr>
      </w:pPr>
      <w:r w:rsidRPr="008006EB">
        <w:rPr>
          <w:b/>
        </w:rPr>
        <w:t>Inflation</w:t>
      </w:r>
    </w:p>
    <w:p w:rsidR="008006EB" w:rsidRDefault="008006EB" w:rsidP="00C12EF7">
      <w:pPr>
        <w:pStyle w:val="text"/>
        <w:spacing w:after="240"/>
      </w:pPr>
      <w:r w:rsidRPr="008006EB">
        <w:t xml:space="preserve">The </w:t>
      </w:r>
      <w:r w:rsidR="00C12EF7">
        <w:t xml:space="preserve">RPI </w:t>
      </w:r>
      <w:r w:rsidRPr="008006EB">
        <w:t xml:space="preserve">inflation assumption is derived </w:t>
      </w:r>
      <w:r w:rsidR="00C12EF7">
        <w:t xml:space="preserve">as the annual inflation spot rate provided by the Bank of England as at the valuation date, calculated at the mean </w:t>
      </w:r>
      <w:r w:rsidR="000D6F4C">
        <w:t>duration</w:t>
      </w:r>
      <w:r w:rsidR="00C12EF7">
        <w:t xml:space="preserve"> of the Scheme’s liabilities.  The</w:t>
      </w:r>
      <w:r w:rsidR="002A5B17">
        <w:t xml:space="preserve"> CPI</w:t>
      </w:r>
      <w:r w:rsidR="00C12EF7">
        <w:t xml:space="preserve"> inflation assumption is derived as the RPI assumption less 0.7%.</w:t>
      </w:r>
    </w:p>
    <w:p w:rsidR="00C12EF7" w:rsidRPr="008006EB" w:rsidRDefault="00C12EF7" w:rsidP="00C12EF7">
      <w:pPr>
        <w:pStyle w:val="text"/>
        <w:spacing w:after="240"/>
      </w:pPr>
      <w:r w:rsidRPr="008006EB">
        <w:rPr>
          <w:b/>
        </w:rPr>
        <w:t xml:space="preserve">Market </w:t>
      </w:r>
      <w:r w:rsidR="003D2E3C" w:rsidRPr="008006EB">
        <w:rPr>
          <w:b/>
        </w:rPr>
        <w:t>c</w:t>
      </w:r>
      <w:r w:rsidRPr="008006EB">
        <w:rPr>
          <w:b/>
        </w:rPr>
        <w:t>onditions at the valuation date</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7267"/>
        <w:gridCol w:w="1642"/>
      </w:tblGrid>
      <w:tr w:rsidR="00C12EF7" w:rsidRPr="008006EB" w:rsidTr="00615E67">
        <w:tc>
          <w:tcPr>
            <w:tcW w:w="7267" w:type="dxa"/>
            <w:tcBorders>
              <w:top w:val="single" w:sz="4" w:space="0" w:color="auto"/>
              <w:left w:val="single" w:sz="4" w:space="0" w:color="auto"/>
            </w:tcBorders>
          </w:tcPr>
          <w:p w:rsidR="00C12EF7" w:rsidRPr="008006EB" w:rsidRDefault="00C12EF7" w:rsidP="006A2F90">
            <w:pPr>
              <w:pStyle w:val="TableHeading"/>
              <w:spacing w:before="50" w:after="50"/>
              <w:jc w:val="left"/>
            </w:pPr>
            <w:r w:rsidRPr="008006EB">
              <w:t xml:space="preserve">Annualised </w:t>
            </w:r>
            <w:r w:rsidR="003D2E3C" w:rsidRPr="008006EB">
              <w:t>y</w:t>
            </w:r>
            <w:r w:rsidRPr="008006EB">
              <w:t>ields on</w:t>
            </w:r>
            <w:r>
              <w:t xml:space="preserve"> 31 August 201</w:t>
            </w:r>
            <w:r w:rsidR="009D03C6">
              <w:t>4</w:t>
            </w:r>
          </w:p>
        </w:tc>
        <w:tc>
          <w:tcPr>
            <w:tcW w:w="1642" w:type="dxa"/>
            <w:tcBorders>
              <w:top w:val="single" w:sz="4" w:space="0" w:color="auto"/>
              <w:right w:val="single" w:sz="4" w:space="0" w:color="auto"/>
            </w:tcBorders>
          </w:tcPr>
          <w:p w:rsidR="00C12EF7" w:rsidRPr="008006EB" w:rsidRDefault="00C12EF7" w:rsidP="006A2F90">
            <w:pPr>
              <w:pStyle w:val="TableHeading"/>
              <w:spacing w:before="50" w:after="50"/>
            </w:pPr>
          </w:p>
        </w:tc>
      </w:tr>
      <w:tr w:rsidR="00C12EF7" w:rsidRPr="008006EB" w:rsidTr="00615E67">
        <w:tc>
          <w:tcPr>
            <w:tcW w:w="7267" w:type="dxa"/>
            <w:tcBorders>
              <w:left w:val="single" w:sz="4" w:space="0" w:color="auto"/>
            </w:tcBorders>
          </w:tcPr>
          <w:p w:rsidR="00C12EF7" w:rsidRPr="008006EB" w:rsidRDefault="00C12EF7" w:rsidP="006A2F90">
            <w:pPr>
              <w:pStyle w:val="TableText"/>
              <w:spacing w:before="50" w:after="50"/>
              <w:jc w:val="left"/>
            </w:pPr>
            <w:r>
              <w:t>Duration of Scheme’s liabilities</w:t>
            </w:r>
          </w:p>
        </w:tc>
        <w:tc>
          <w:tcPr>
            <w:tcW w:w="1642" w:type="dxa"/>
            <w:tcBorders>
              <w:right w:val="single" w:sz="4" w:space="0" w:color="auto"/>
            </w:tcBorders>
          </w:tcPr>
          <w:p w:rsidR="00C12EF7" w:rsidRPr="008006EB" w:rsidRDefault="00C12EF7" w:rsidP="006A2F90">
            <w:pPr>
              <w:pStyle w:val="TableText"/>
              <w:spacing w:before="50" w:after="50"/>
              <w:jc w:val="center"/>
            </w:pPr>
            <w:r>
              <w:t>19 years</w:t>
            </w:r>
          </w:p>
        </w:tc>
      </w:tr>
      <w:tr w:rsidR="00C12EF7" w:rsidRPr="008006EB" w:rsidTr="00615E67">
        <w:tc>
          <w:tcPr>
            <w:tcW w:w="7267" w:type="dxa"/>
            <w:tcBorders>
              <w:left w:val="single" w:sz="4" w:space="0" w:color="auto"/>
            </w:tcBorders>
          </w:tcPr>
          <w:p w:rsidR="00C12EF7" w:rsidRPr="008006EB" w:rsidRDefault="00C12EF7" w:rsidP="006A2F90">
            <w:pPr>
              <w:pStyle w:val="TableText"/>
              <w:spacing w:before="50" w:after="50"/>
              <w:jc w:val="left"/>
            </w:pPr>
            <w:r>
              <w:t>Annual nominal gilt yield spot rate provided by the Bank of England at 19 years duration</w:t>
            </w:r>
          </w:p>
        </w:tc>
        <w:tc>
          <w:tcPr>
            <w:tcW w:w="1642" w:type="dxa"/>
            <w:tcBorders>
              <w:right w:val="single" w:sz="4" w:space="0" w:color="auto"/>
            </w:tcBorders>
          </w:tcPr>
          <w:p w:rsidR="00C12EF7" w:rsidRPr="008006EB" w:rsidRDefault="009D03C6" w:rsidP="006A2F90">
            <w:pPr>
              <w:pStyle w:val="TableText"/>
              <w:spacing w:before="50" w:after="50"/>
              <w:jc w:val="center"/>
            </w:pPr>
            <w:r>
              <w:t>3</w:t>
            </w:r>
            <w:r w:rsidR="00C12EF7">
              <w:t>.0%</w:t>
            </w:r>
          </w:p>
        </w:tc>
      </w:tr>
      <w:tr w:rsidR="00C12EF7" w:rsidRPr="008006EB" w:rsidTr="00615E67">
        <w:tc>
          <w:tcPr>
            <w:tcW w:w="7267" w:type="dxa"/>
            <w:tcBorders>
              <w:left w:val="single" w:sz="4" w:space="0" w:color="auto"/>
              <w:bottom w:val="single" w:sz="4" w:space="0" w:color="auto"/>
            </w:tcBorders>
          </w:tcPr>
          <w:p w:rsidR="00C12EF7" w:rsidRPr="008006EB" w:rsidRDefault="00C12EF7" w:rsidP="006A2F90">
            <w:pPr>
              <w:pStyle w:val="TableText"/>
              <w:spacing w:before="50" w:after="50"/>
              <w:jc w:val="left"/>
            </w:pPr>
            <w:r>
              <w:t>Annual inflation spot rate provided by the Bank of England at 19 years duration</w:t>
            </w:r>
          </w:p>
        </w:tc>
        <w:tc>
          <w:tcPr>
            <w:tcW w:w="1642" w:type="dxa"/>
            <w:tcBorders>
              <w:bottom w:val="single" w:sz="4" w:space="0" w:color="auto"/>
              <w:right w:val="single" w:sz="4" w:space="0" w:color="auto"/>
            </w:tcBorders>
          </w:tcPr>
          <w:p w:rsidR="00C12EF7" w:rsidRPr="008006EB" w:rsidRDefault="00C12EF7" w:rsidP="009D03C6">
            <w:pPr>
              <w:pStyle w:val="TableText"/>
              <w:spacing w:before="50" w:after="50"/>
              <w:jc w:val="center"/>
            </w:pPr>
            <w:r>
              <w:t>3.</w:t>
            </w:r>
            <w:r w:rsidR="009D03C6">
              <w:t>4</w:t>
            </w:r>
            <w:r>
              <w:t>%</w:t>
            </w:r>
          </w:p>
        </w:tc>
      </w:tr>
    </w:tbl>
    <w:p w:rsidR="00C12EF7" w:rsidRPr="008006EB" w:rsidRDefault="00C12EF7" w:rsidP="00C12EF7">
      <w:pPr>
        <w:pStyle w:val="text"/>
        <w:spacing w:after="240"/>
        <w:rPr>
          <w:b/>
        </w:rPr>
      </w:pPr>
      <w:r w:rsidRPr="008006EB">
        <w:rPr>
          <w:b/>
        </w:rPr>
        <w:t xml:space="preserve">Economic </w:t>
      </w:r>
      <w:r w:rsidR="003D2E3C" w:rsidRPr="008006EB">
        <w:rPr>
          <w:b/>
        </w:rPr>
        <w:t>a</w:t>
      </w:r>
      <w:r w:rsidRPr="008006EB">
        <w:rPr>
          <w:b/>
        </w:rPr>
        <w:t>ssumptions</w: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7267"/>
        <w:gridCol w:w="1642"/>
      </w:tblGrid>
      <w:tr w:rsidR="00C12EF7" w:rsidRPr="008006EB" w:rsidTr="002A5B17">
        <w:tc>
          <w:tcPr>
            <w:tcW w:w="7267" w:type="dxa"/>
            <w:tcBorders>
              <w:top w:val="single" w:sz="4" w:space="0" w:color="auto"/>
              <w:left w:val="single" w:sz="4" w:space="0" w:color="auto"/>
            </w:tcBorders>
          </w:tcPr>
          <w:p w:rsidR="00C12EF7" w:rsidRPr="008006EB" w:rsidRDefault="00C12EF7" w:rsidP="006A2F90">
            <w:pPr>
              <w:pStyle w:val="TableHeading"/>
              <w:spacing w:before="50" w:after="50"/>
            </w:pPr>
            <w:r w:rsidRPr="008006EB">
              <w:t xml:space="preserve">Type of </w:t>
            </w:r>
            <w:r w:rsidR="003D2E3C" w:rsidRPr="008006EB">
              <w:t>a</w:t>
            </w:r>
            <w:r w:rsidRPr="008006EB">
              <w:t>ssumption</w:t>
            </w:r>
          </w:p>
        </w:tc>
        <w:tc>
          <w:tcPr>
            <w:tcW w:w="1642" w:type="dxa"/>
            <w:tcBorders>
              <w:top w:val="single" w:sz="4" w:space="0" w:color="auto"/>
              <w:right w:val="single" w:sz="4" w:space="0" w:color="auto"/>
            </w:tcBorders>
          </w:tcPr>
          <w:p w:rsidR="00C12EF7" w:rsidRPr="008006EB" w:rsidRDefault="00C12EF7" w:rsidP="006A2F90">
            <w:pPr>
              <w:pStyle w:val="TableHeading"/>
              <w:spacing w:before="50" w:after="50"/>
            </w:pPr>
            <w:r w:rsidRPr="008006EB">
              <w:t>% pa</w:t>
            </w:r>
          </w:p>
        </w:tc>
      </w:tr>
      <w:tr w:rsidR="00C12EF7" w:rsidRPr="008006EB" w:rsidTr="002A5B17">
        <w:tc>
          <w:tcPr>
            <w:tcW w:w="7267" w:type="dxa"/>
            <w:tcBorders>
              <w:left w:val="single" w:sz="4" w:space="0" w:color="auto"/>
            </w:tcBorders>
          </w:tcPr>
          <w:p w:rsidR="00C12EF7" w:rsidRPr="008006EB" w:rsidRDefault="00C12EF7" w:rsidP="006A2F90">
            <w:pPr>
              <w:pStyle w:val="TableText"/>
              <w:spacing w:before="50" w:after="50"/>
            </w:pPr>
            <w:r>
              <w:t>Pre-retirement outperformance assumption</w:t>
            </w:r>
          </w:p>
        </w:tc>
        <w:tc>
          <w:tcPr>
            <w:tcW w:w="1642" w:type="dxa"/>
            <w:tcBorders>
              <w:right w:val="single" w:sz="4" w:space="0" w:color="auto"/>
            </w:tcBorders>
          </w:tcPr>
          <w:p w:rsidR="00C12EF7" w:rsidRPr="008006EB" w:rsidRDefault="00C12EF7" w:rsidP="002A5B17">
            <w:pPr>
              <w:pStyle w:val="TableText"/>
              <w:tabs>
                <w:tab w:val="decimal" w:pos="612"/>
              </w:tabs>
              <w:spacing w:before="50" w:after="50"/>
            </w:pPr>
            <w:r>
              <w:t>2.0</w:t>
            </w:r>
          </w:p>
        </w:tc>
      </w:tr>
      <w:tr w:rsidR="00C12EF7" w:rsidRPr="008006EB" w:rsidTr="002A5B17">
        <w:tc>
          <w:tcPr>
            <w:tcW w:w="7267" w:type="dxa"/>
            <w:tcBorders>
              <w:left w:val="single" w:sz="4" w:space="0" w:color="auto"/>
            </w:tcBorders>
          </w:tcPr>
          <w:p w:rsidR="00C12EF7" w:rsidRPr="008006EB" w:rsidRDefault="00C12EF7" w:rsidP="006A2F90">
            <w:pPr>
              <w:pStyle w:val="TableText"/>
              <w:spacing w:before="50" w:after="50"/>
            </w:pPr>
            <w:r>
              <w:t>Post retirement outperformance assumption</w:t>
            </w:r>
          </w:p>
        </w:tc>
        <w:tc>
          <w:tcPr>
            <w:tcW w:w="1642" w:type="dxa"/>
            <w:tcBorders>
              <w:right w:val="single" w:sz="4" w:space="0" w:color="auto"/>
            </w:tcBorders>
          </w:tcPr>
          <w:p w:rsidR="00C12EF7" w:rsidRPr="008006EB" w:rsidRDefault="00C12EF7" w:rsidP="002A5B17">
            <w:pPr>
              <w:pStyle w:val="TableText"/>
              <w:tabs>
                <w:tab w:val="decimal" w:pos="612"/>
              </w:tabs>
              <w:spacing w:before="50" w:after="50"/>
            </w:pPr>
            <w:r>
              <w:t>0.5</w:t>
            </w:r>
          </w:p>
        </w:tc>
      </w:tr>
      <w:tr w:rsidR="00C12EF7" w:rsidRPr="008006EB" w:rsidTr="002A5B17">
        <w:tc>
          <w:tcPr>
            <w:tcW w:w="7267" w:type="dxa"/>
            <w:tcBorders>
              <w:left w:val="single" w:sz="4" w:space="0" w:color="auto"/>
            </w:tcBorders>
          </w:tcPr>
          <w:p w:rsidR="00C12EF7" w:rsidRPr="008006EB" w:rsidRDefault="00C12EF7" w:rsidP="006A2F90">
            <w:pPr>
              <w:pStyle w:val="TableText"/>
              <w:spacing w:before="50" w:after="50"/>
            </w:pPr>
            <w:r w:rsidRPr="008006EB">
              <w:t>Pre-retirement discount rate</w:t>
            </w:r>
          </w:p>
        </w:tc>
        <w:tc>
          <w:tcPr>
            <w:tcW w:w="1642" w:type="dxa"/>
            <w:tcBorders>
              <w:right w:val="single" w:sz="4" w:space="0" w:color="auto"/>
            </w:tcBorders>
          </w:tcPr>
          <w:p w:rsidR="00C12EF7" w:rsidRPr="008006EB" w:rsidRDefault="009D03C6" w:rsidP="002A5B17">
            <w:pPr>
              <w:pStyle w:val="TableText"/>
              <w:tabs>
                <w:tab w:val="decimal" w:pos="612"/>
              </w:tabs>
              <w:spacing w:before="50" w:after="50"/>
            </w:pPr>
            <w:r>
              <w:t>5</w:t>
            </w:r>
            <w:r w:rsidR="00C12EF7">
              <w:t>.0</w:t>
            </w:r>
          </w:p>
        </w:tc>
      </w:tr>
      <w:tr w:rsidR="00C12EF7" w:rsidRPr="008006EB" w:rsidTr="002A5B17">
        <w:tc>
          <w:tcPr>
            <w:tcW w:w="7267" w:type="dxa"/>
            <w:tcBorders>
              <w:left w:val="single" w:sz="4" w:space="0" w:color="auto"/>
            </w:tcBorders>
          </w:tcPr>
          <w:p w:rsidR="00C12EF7" w:rsidRPr="008006EB" w:rsidRDefault="00C12EF7" w:rsidP="006A2F90">
            <w:pPr>
              <w:pStyle w:val="TableText"/>
              <w:spacing w:before="50" w:after="50"/>
            </w:pPr>
            <w:r w:rsidRPr="008006EB">
              <w:t>Post retirement discount rate</w:t>
            </w:r>
          </w:p>
        </w:tc>
        <w:tc>
          <w:tcPr>
            <w:tcW w:w="1642" w:type="dxa"/>
            <w:tcBorders>
              <w:right w:val="single" w:sz="4" w:space="0" w:color="auto"/>
            </w:tcBorders>
          </w:tcPr>
          <w:p w:rsidR="00C12EF7" w:rsidRPr="008006EB" w:rsidRDefault="009D03C6" w:rsidP="002A5B17">
            <w:pPr>
              <w:pStyle w:val="TableText"/>
              <w:tabs>
                <w:tab w:val="decimal" w:pos="612"/>
              </w:tabs>
              <w:spacing w:before="50" w:after="50"/>
            </w:pPr>
            <w:r>
              <w:t>3</w:t>
            </w:r>
            <w:r w:rsidR="00C12EF7">
              <w:t>.5</w:t>
            </w:r>
          </w:p>
        </w:tc>
      </w:tr>
      <w:tr w:rsidR="00C12EF7" w:rsidRPr="008006EB" w:rsidTr="002A5B17">
        <w:tc>
          <w:tcPr>
            <w:tcW w:w="7267" w:type="dxa"/>
            <w:tcBorders>
              <w:left w:val="single" w:sz="4" w:space="0" w:color="auto"/>
            </w:tcBorders>
          </w:tcPr>
          <w:p w:rsidR="00C12EF7" w:rsidRPr="008006EB" w:rsidRDefault="00C12EF7" w:rsidP="006A2F90">
            <w:pPr>
              <w:pStyle w:val="TableText"/>
              <w:spacing w:before="50" w:after="50"/>
            </w:pPr>
            <w:r>
              <w:t>Inflation RPI</w:t>
            </w:r>
          </w:p>
        </w:tc>
        <w:tc>
          <w:tcPr>
            <w:tcW w:w="1642" w:type="dxa"/>
            <w:tcBorders>
              <w:right w:val="single" w:sz="4" w:space="0" w:color="auto"/>
            </w:tcBorders>
          </w:tcPr>
          <w:p w:rsidR="00C12EF7" w:rsidRDefault="00C12EF7" w:rsidP="002A5B17">
            <w:pPr>
              <w:pStyle w:val="TableText"/>
              <w:tabs>
                <w:tab w:val="decimal" w:pos="612"/>
              </w:tabs>
              <w:spacing w:before="50" w:after="50"/>
            </w:pPr>
            <w:r>
              <w:t>3.</w:t>
            </w:r>
            <w:r w:rsidR="009D03C6">
              <w:t>4</w:t>
            </w:r>
          </w:p>
        </w:tc>
      </w:tr>
      <w:tr w:rsidR="00C12EF7" w:rsidRPr="008006EB" w:rsidTr="002A5B17">
        <w:tc>
          <w:tcPr>
            <w:tcW w:w="7267" w:type="dxa"/>
            <w:tcBorders>
              <w:left w:val="single" w:sz="4" w:space="0" w:color="auto"/>
            </w:tcBorders>
          </w:tcPr>
          <w:p w:rsidR="00C12EF7" w:rsidRPr="008006EB" w:rsidRDefault="00C12EF7" w:rsidP="006A2F90">
            <w:pPr>
              <w:pStyle w:val="TableText"/>
              <w:spacing w:before="50" w:after="50"/>
            </w:pPr>
            <w:r>
              <w:t>Inflation CPI</w:t>
            </w:r>
          </w:p>
        </w:tc>
        <w:tc>
          <w:tcPr>
            <w:tcW w:w="1642" w:type="dxa"/>
            <w:tcBorders>
              <w:right w:val="single" w:sz="4" w:space="0" w:color="auto"/>
            </w:tcBorders>
          </w:tcPr>
          <w:p w:rsidR="00C12EF7" w:rsidRDefault="00C12EF7" w:rsidP="002A5B17">
            <w:pPr>
              <w:pStyle w:val="TableText"/>
              <w:tabs>
                <w:tab w:val="decimal" w:pos="612"/>
              </w:tabs>
              <w:spacing w:before="50" w:after="50"/>
            </w:pPr>
            <w:r>
              <w:t>2.</w:t>
            </w:r>
            <w:r w:rsidR="009D03C6">
              <w:t>7</w:t>
            </w:r>
          </w:p>
        </w:tc>
      </w:tr>
      <w:tr w:rsidR="00C12EF7" w:rsidRPr="008006EB" w:rsidTr="002A5B17">
        <w:tc>
          <w:tcPr>
            <w:tcW w:w="7267" w:type="dxa"/>
            <w:tcBorders>
              <w:left w:val="single" w:sz="4" w:space="0" w:color="auto"/>
            </w:tcBorders>
          </w:tcPr>
          <w:p w:rsidR="00C12EF7" w:rsidRPr="008006EB" w:rsidRDefault="00C12EF7" w:rsidP="006A2F90">
            <w:pPr>
              <w:pStyle w:val="TableText"/>
              <w:spacing w:before="50" w:after="50"/>
            </w:pPr>
            <w:r>
              <w:t xml:space="preserve">Pensionable Earnings </w:t>
            </w:r>
            <w:r w:rsidR="003D2E3C" w:rsidRPr="008006EB">
              <w:t>increase a</w:t>
            </w:r>
            <w:r w:rsidRPr="008006EB">
              <w:t>djustment</w:t>
            </w:r>
          </w:p>
        </w:tc>
        <w:tc>
          <w:tcPr>
            <w:tcW w:w="1642" w:type="dxa"/>
            <w:tcBorders>
              <w:right w:val="single" w:sz="4" w:space="0" w:color="auto"/>
            </w:tcBorders>
          </w:tcPr>
          <w:p w:rsidR="00C12EF7" w:rsidRPr="008006EB" w:rsidRDefault="00C12EF7" w:rsidP="002A5B17">
            <w:pPr>
              <w:pStyle w:val="TableText"/>
              <w:tabs>
                <w:tab w:val="decimal" w:pos="612"/>
              </w:tabs>
              <w:spacing w:before="50" w:after="50"/>
            </w:pPr>
            <w:r>
              <w:t>1.0</w:t>
            </w:r>
          </w:p>
        </w:tc>
      </w:tr>
      <w:tr w:rsidR="00C12EF7" w:rsidRPr="008006EB" w:rsidTr="002A5B17">
        <w:tc>
          <w:tcPr>
            <w:tcW w:w="7267" w:type="dxa"/>
            <w:tcBorders>
              <w:left w:val="single" w:sz="4" w:space="0" w:color="auto"/>
            </w:tcBorders>
          </w:tcPr>
          <w:p w:rsidR="00C12EF7" w:rsidRPr="008006EB" w:rsidRDefault="00C12EF7" w:rsidP="006A2F90">
            <w:pPr>
              <w:pStyle w:val="TableText"/>
              <w:spacing w:before="50" w:after="50"/>
            </w:pPr>
            <w:r>
              <w:t xml:space="preserve">Pensionable Earnings </w:t>
            </w:r>
            <w:r w:rsidRPr="008006EB">
              <w:t>increases</w:t>
            </w:r>
          </w:p>
        </w:tc>
        <w:tc>
          <w:tcPr>
            <w:tcW w:w="1642" w:type="dxa"/>
            <w:tcBorders>
              <w:right w:val="single" w:sz="4" w:space="0" w:color="auto"/>
            </w:tcBorders>
          </w:tcPr>
          <w:p w:rsidR="00C12EF7" w:rsidRPr="008006EB" w:rsidRDefault="009D03C6" w:rsidP="002A5B17">
            <w:pPr>
              <w:pStyle w:val="TableText"/>
              <w:tabs>
                <w:tab w:val="decimal" w:pos="612"/>
              </w:tabs>
              <w:spacing w:before="50" w:after="50"/>
            </w:pPr>
            <w:r>
              <w:t>3.7</w:t>
            </w:r>
          </w:p>
        </w:tc>
      </w:tr>
      <w:tr w:rsidR="00C12EF7" w:rsidRPr="008006EB" w:rsidTr="002A5B17">
        <w:tc>
          <w:tcPr>
            <w:tcW w:w="7267" w:type="dxa"/>
            <w:tcBorders>
              <w:left w:val="single" w:sz="4" w:space="0" w:color="auto"/>
            </w:tcBorders>
          </w:tcPr>
          <w:p w:rsidR="00C12EF7" w:rsidRDefault="00C12EF7" w:rsidP="006A2F90">
            <w:pPr>
              <w:pStyle w:val="TableText"/>
              <w:spacing w:before="50" w:after="50"/>
            </w:pPr>
            <w:r w:rsidRPr="008006EB">
              <w:t>Pension increases</w:t>
            </w:r>
          </w:p>
          <w:p w:rsidR="00C12EF7" w:rsidRDefault="00C12EF7" w:rsidP="006A2F90">
            <w:pPr>
              <w:pStyle w:val="TableText"/>
              <w:spacing w:before="50" w:after="50"/>
            </w:pPr>
            <w:r>
              <w:tab/>
            </w:r>
            <w:r w:rsidR="006A2F90">
              <w:t>5% fixed</w:t>
            </w:r>
          </w:p>
          <w:p w:rsidR="006A2F90" w:rsidRDefault="006A2F90" w:rsidP="006A2F90">
            <w:pPr>
              <w:pStyle w:val="TableText"/>
              <w:spacing w:before="50" w:after="50"/>
            </w:pPr>
            <w:r>
              <w:tab/>
              <w:t>5% LPI</w:t>
            </w:r>
          </w:p>
          <w:p w:rsidR="006A2F90" w:rsidRPr="008006EB" w:rsidRDefault="006A2F90" w:rsidP="006A2F90">
            <w:pPr>
              <w:pStyle w:val="TableText"/>
              <w:spacing w:before="50" w:after="50"/>
            </w:pPr>
            <w:r>
              <w:tab/>
              <w:t>2.5% LPI</w:t>
            </w:r>
          </w:p>
        </w:tc>
        <w:tc>
          <w:tcPr>
            <w:tcW w:w="1642" w:type="dxa"/>
            <w:tcBorders>
              <w:right w:val="single" w:sz="4" w:space="0" w:color="auto"/>
            </w:tcBorders>
          </w:tcPr>
          <w:p w:rsidR="00C12EF7" w:rsidRDefault="00C12EF7" w:rsidP="002A5B17">
            <w:pPr>
              <w:pStyle w:val="TableText"/>
              <w:tabs>
                <w:tab w:val="decimal" w:pos="612"/>
              </w:tabs>
              <w:spacing w:before="50" w:after="50"/>
            </w:pPr>
          </w:p>
          <w:p w:rsidR="006A2F90" w:rsidRDefault="006A2F90" w:rsidP="002A5B17">
            <w:pPr>
              <w:pStyle w:val="TableText"/>
              <w:tabs>
                <w:tab w:val="decimal" w:pos="612"/>
              </w:tabs>
              <w:spacing w:before="50" w:after="50"/>
            </w:pPr>
            <w:r>
              <w:t>5.0</w:t>
            </w:r>
          </w:p>
          <w:p w:rsidR="006A2F90" w:rsidRDefault="003108B8" w:rsidP="002A5B17">
            <w:pPr>
              <w:pStyle w:val="TableText"/>
              <w:tabs>
                <w:tab w:val="decimal" w:pos="612"/>
              </w:tabs>
              <w:spacing w:before="50" w:after="50"/>
            </w:pPr>
            <w:r>
              <w:t>3.2</w:t>
            </w:r>
          </w:p>
          <w:p w:rsidR="006A2F90" w:rsidRPr="008006EB" w:rsidRDefault="003108B8" w:rsidP="002A5B17">
            <w:pPr>
              <w:pStyle w:val="TableText"/>
              <w:tabs>
                <w:tab w:val="decimal" w:pos="612"/>
              </w:tabs>
              <w:spacing w:before="50" w:after="50"/>
            </w:pPr>
            <w:r>
              <w:t>2.2</w:t>
            </w:r>
          </w:p>
        </w:tc>
      </w:tr>
      <w:tr w:rsidR="00C12EF7" w:rsidRPr="008006EB" w:rsidTr="002A5B17">
        <w:tc>
          <w:tcPr>
            <w:tcW w:w="7267" w:type="dxa"/>
            <w:tcBorders>
              <w:left w:val="single" w:sz="4" w:space="0" w:color="auto"/>
              <w:bottom w:val="nil"/>
            </w:tcBorders>
          </w:tcPr>
          <w:p w:rsidR="00C12EF7" w:rsidRPr="008006EB" w:rsidRDefault="00C12EF7" w:rsidP="006A2F90">
            <w:pPr>
              <w:pStyle w:val="TableText"/>
              <w:spacing w:before="50" w:after="50"/>
            </w:pPr>
            <w:r w:rsidRPr="008006EB">
              <w:t>Deferred pension increases</w:t>
            </w:r>
          </w:p>
        </w:tc>
        <w:tc>
          <w:tcPr>
            <w:tcW w:w="1642" w:type="dxa"/>
            <w:tcBorders>
              <w:bottom w:val="nil"/>
              <w:right w:val="single" w:sz="4" w:space="0" w:color="auto"/>
            </w:tcBorders>
          </w:tcPr>
          <w:p w:rsidR="00C12EF7" w:rsidRPr="008006EB" w:rsidRDefault="00C12EF7" w:rsidP="002A5B17">
            <w:pPr>
              <w:pStyle w:val="TableText"/>
              <w:tabs>
                <w:tab w:val="decimal" w:pos="612"/>
              </w:tabs>
              <w:spacing w:before="50" w:after="50"/>
            </w:pPr>
          </w:p>
        </w:tc>
      </w:tr>
      <w:tr w:rsidR="00C12EF7" w:rsidRPr="008006EB" w:rsidTr="002A5B17">
        <w:tc>
          <w:tcPr>
            <w:tcW w:w="7267" w:type="dxa"/>
            <w:tcBorders>
              <w:top w:val="nil"/>
              <w:left w:val="single" w:sz="4" w:space="0" w:color="auto"/>
              <w:bottom w:val="nil"/>
            </w:tcBorders>
          </w:tcPr>
          <w:p w:rsidR="00C12EF7" w:rsidRDefault="00C12EF7" w:rsidP="006A2F90">
            <w:pPr>
              <w:pStyle w:val="TableText"/>
              <w:spacing w:before="50" w:after="50"/>
            </w:pPr>
            <w:r>
              <w:tab/>
              <w:t xml:space="preserve">Service to </w:t>
            </w:r>
            <w:r w:rsidR="006A2F90">
              <w:t>April 2009</w:t>
            </w:r>
          </w:p>
        </w:tc>
        <w:tc>
          <w:tcPr>
            <w:tcW w:w="1642" w:type="dxa"/>
            <w:tcBorders>
              <w:top w:val="nil"/>
              <w:bottom w:val="nil"/>
              <w:right w:val="single" w:sz="4" w:space="0" w:color="auto"/>
            </w:tcBorders>
          </w:tcPr>
          <w:p w:rsidR="00C12EF7" w:rsidRPr="008006EB" w:rsidRDefault="006A2F90" w:rsidP="002A5B17">
            <w:pPr>
              <w:pStyle w:val="TableText"/>
              <w:tabs>
                <w:tab w:val="decimal" w:pos="612"/>
              </w:tabs>
              <w:spacing w:before="50" w:after="50"/>
            </w:pPr>
            <w:r>
              <w:t>2.</w:t>
            </w:r>
            <w:r w:rsidR="009D03C6">
              <w:t>7</w:t>
            </w:r>
          </w:p>
        </w:tc>
      </w:tr>
      <w:tr w:rsidR="00C12EF7" w:rsidRPr="008006EB" w:rsidTr="002A5B17">
        <w:tc>
          <w:tcPr>
            <w:tcW w:w="7267" w:type="dxa"/>
            <w:tcBorders>
              <w:top w:val="nil"/>
              <w:left w:val="single" w:sz="4" w:space="0" w:color="auto"/>
            </w:tcBorders>
          </w:tcPr>
          <w:p w:rsidR="00C12EF7" w:rsidRDefault="00C12EF7" w:rsidP="006A2F90">
            <w:pPr>
              <w:pStyle w:val="TableText"/>
              <w:spacing w:before="50" w:after="50"/>
            </w:pPr>
            <w:r>
              <w:tab/>
            </w:r>
            <w:r w:rsidR="006A2F90">
              <w:t>Service from April 2009</w:t>
            </w:r>
          </w:p>
        </w:tc>
        <w:tc>
          <w:tcPr>
            <w:tcW w:w="1642" w:type="dxa"/>
            <w:tcBorders>
              <w:top w:val="nil"/>
              <w:right w:val="single" w:sz="4" w:space="0" w:color="auto"/>
            </w:tcBorders>
          </w:tcPr>
          <w:p w:rsidR="00C12EF7" w:rsidRPr="008006EB" w:rsidRDefault="00C12EF7" w:rsidP="002A5B17">
            <w:pPr>
              <w:pStyle w:val="TableText"/>
              <w:tabs>
                <w:tab w:val="decimal" w:pos="612"/>
              </w:tabs>
              <w:spacing w:before="50" w:after="50"/>
            </w:pPr>
            <w:r>
              <w:t>2.5</w:t>
            </w:r>
          </w:p>
        </w:tc>
      </w:tr>
      <w:tr w:rsidR="00C12EF7" w:rsidRPr="008006EB" w:rsidTr="002A5B17">
        <w:tc>
          <w:tcPr>
            <w:tcW w:w="7267" w:type="dxa"/>
            <w:tcBorders>
              <w:left w:val="single" w:sz="4" w:space="0" w:color="auto"/>
              <w:bottom w:val="single" w:sz="4" w:space="0" w:color="auto"/>
            </w:tcBorders>
          </w:tcPr>
          <w:p w:rsidR="00C12EF7" w:rsidRPr="008006EB" w:rsidRDefault="00C12EF7" w:rsidP="006A2F90">
            <w:pPr>
              <w:pStyle w:val="TableText"/>
              <w:spacing w:before="50" w:after="50"/>
              <w:jc w:val="left"/>
            </w:pPr>
            <w:r>
              <w:t xml:space="preserve">Management expenses </w:t>
            </w:r>
            <w:r w:rsidR="006A2F90">
              <w:t>(</w:t>
            </w:r>
            <w:r>
              <w:t xml:space="preserve">as </w:t>
            </w:r>
            <w:r w:rsidR="006A2F90">
              <w:t>a percentage of Pensionable Earnings)</w:t>
            </w:r>
          </w:p>
        </w:tc>
        <w:tc>
          <w:tcPr>
            <w:tcW w:w="1642" w:type="dxa"/>
            <w:tcBorders>
              <w:bottom w:val="single" w:sz="4" w:space="0" w:color="auto"/>
              <w:right w:val="single" w:sz="4" w:space="0" w:color="auto"/>
            </w:tcBorders>
          </w:tcPr>
          <w:p w:rsidR="00C12EF7" w:rsidRPr="008006EB" w:rsidRDefault="006A2F90" w:rsidP="002A5B17">
            <w:pPr>
              <w:pStyle w:val="TableText"/>
              <w:tabs>
                <w:tab w:val="decimal" w:pos="612"/>
              </w:tabs>
              <w:spacing w:before="50" w:after="50"/>
            </w:pPr>
            <w:r>
              <w:t>3.</w:t>
            </w:r>
            <w:r w:rsidR="009D03C6">
              <w:t>7</w:t>
            </w:r>
          </w:p>
        </w:tc>
      </w:tr>
    </w:tbl>
    <w:p w:rsidR="008006EB" w:rsidRPr="008006EB" w:rsidRDefault="00156C6B" w:rsidP="008006EB">
      <w:pPr>
        <w:pStyle w:val="text"/>
        <w:rPr>
          <w:b/>
          <w:u w:val="single"/>
          <w:lang w:val="en-US"/>
        </w:rPr>
      </w:pPr>
      <w:r>
        <w:br w:type="page"/>
      </w:r>
      <w:r w:rsidR="008006EB" w:rsidRPr="008006EB">
        <w:rPr>
          <w:b/>
          <w:u w:val="single"/>
          <w:lang w:val="en-US"/>
        </w:rPr>
        <w:lastRenderedPageBreak/>
        <w:t>APPENDIX 3</w:t>
      </w:r>
    </w:p>
    <w:p w:rsidR="008006EB" w:rsidRPr="008006EB" w:rsidRDefault="008006EB" w:rsidP="008006EB">
      <w:pPr>
        <w:pStyle w:val="text"/>
        <w:rPr>
          <w:b/>
          <w:u w:val="single"/>
          <w:lang w:val="en-US"/>
        </w:rPr>
      </w:pPr>
      <w:r w:rsidRPr="008006EB">
        <w:rPr>
          <w:b/>
          <w:u w:val="single"/>
          <w:lang w:val="en-US"/>
        </w:rPr>
        <w:t xml:space="preserve">Demographic </w:t>
      </w:r>
      <w:r w:rsidR="003D2E3C" w:rsidRPr="008006EB">
        <w:rPr>
          <w:b/>
          <w:u w:val="single"/>
          <w:lang w:val="en-US"/>
        </w:rPr>
        <w:t>assumptions as at the valuation date</w:t>
      </w:r>
    </w:p>
    <w:p w:rsidR="008006EB" w:rsidRPr="008006EB" w:rsidRDefault="008006EB" w:rsidP="008006EB">
      <w:pPr>
        <w:pStyle w:val="text"/>
        <w:rPr>
          <w:b/>
        </w:rPr>
      </w:pPr>
      <w:r w:rsidRPr="008006EB">
        <w:rPr>
          <w:b/>
        </w:rPr>
        <w:t>Illustrative death rates</w:t>
      </w:r>
    </w:p>
    <w:p w:rsidR="008006EB" w:rsidRPr="008006EB" w:rsidRDefault="008006EB" w:rsidP="00780D3C">
      <w:pPr>
        <w:pStyle w:val="text"/>
        <w:spacing w:after="240"/>
      </w:pPr>
      <w:r w:rsidRPr="008006EB">
        <w:t>Mortality prior to retirement: probability of death within one year</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163"/>
        <w:gridCol w:w="2437"/>
        <w:gridCol w:w="2717"/>
      </w:tblGrid>
      <w:tr w:rsidR="008006EB" w:rsidRPr="008006EB" w:rsidTr="00780D3C">
        <w:trPr>
          <w:jc w:val="center"/>
        </w:trPr>
        <w:tc>
          <w:tcPr>
            <w:tcW w:w="1163" w:type="dxa"/>
            <w:tcBorders>
              <w:top w:val="single" w:sz="4" w:space="0" w:color="auto"/>
              <w:left w:val="single" w:sz="4" w:space="0" w:color="auto"/>
            </w:tcBorders>
          </w:tcPr>
          <w:p w:rsidR="008006EB" w:rsidRPr="008006EB" w:rsidRDefault="008006EB" w:rsidP="00780D3C">
            <w:pPr>
              <w:pStyle w:val="TableHeading"/>
            </w:pPr>
            <w:r w:rsidRPr="008006EB">
              <w:t>Age</w:t>
            </w:r>
          </w:p>
          <w:p w:rsidR="008006EB" w:rsidRPr="008006EB" w:rsidRDefault="002A5B17" w:rsidP="00780D3C">
            <w:pPr>
              <w:pStyle w:val="TableHeading"/>
            </w:pPr>
            <w:r w:rsidRPr="008006EB">
              <w:t>x</w:t>
            </w:r>
          </w:p>
        </w:tc>
        <w:tc>
          <w:tcPr>
            <w:tcW w:w="2437" w:type="dxa"/>
            <w:tcBorders>
              <w:top w:val="single" w:sz="4" w:space="0" w:color="auto"/>
            </w:tcBorders>
          </w:tcPr>
          <w:p w:rsidR="008006EB" w:rsidRPr="008006EB" w:rsidRDefault="008006EB" w:rsidP="00780D3C">
            <w:pPr>
              <w:pStyle w:val="TableHeading"/>
              <w:rPr>
                <w:vertAlign w:val="subscript"/>
              </w:rPr>
            </w:pPr>
            <w:r w:rsidRPr="008006EB">
              <w:t>Male death rate  q</w:t>
            </w:r>
            <w:r w:rsidRPr="008006EB">
              <w:rPr>
                <w:vertAlign w:val="subscript"/>
              </w:rPr>
              <w:t>x</w:t>
            </w:r>
          </w:p>
          <w:p w:rsidR="008006EB" w:rsidRPr="008006EB" w:rsidRDefault="008006EB" w:rsidP="00780D3C">
            <w:pPr>
              <w:pStyle w:val="TableHeading"/>
            </w:pPr>
            <w:r w:rsidRPr="008006EB">
              <w:t>AMC00</w:t>
            </w:r>
          </w:p>
        </w:tc>
        <w:tc>
          <w:tcPr>
            <w:tcW w:w="2717" w:type="dxa"/>
            <w:tcBorders>
              <w:top w:val="single" w:sz="4" w:space="0" w:color="auto"/>
              <w:right w:val="single" w:sz="4" w:space="0" w:color="auto"/>
            </w:tcBorders>
          </w:tcPr>
          <w:p w:rsidR="008006EB" w:rsidRPr="008006EB" w:rsidRDefault="008006EB" w:rsidP="00780D3C">
            <w:pPr>
              <w:pStyle w:val="TableHeading"/>
              <w:rPr>
                <w:vertAlign w:val="subscript"/>
              </w:rPr>
            </w:pPr>
            <w:r w:rsidRPr="008006EB">
              <w:t>Female death rate  q</w:t>
            </w:r>
            <w:r w:rsidRPr="008006EB">
              <w:rPr>
                <w:vertAlign w:val="subscript"/>
              </w:rPr>
              <w:t>x</w:t>
            </w:r>
          </w:p>
          <w:p w:rsidR="008006EB" w:rsidRPr="008006EB" w:rsidRDefault="008006EB" w:rsidP="00780D3C">
            <w:pPr>
              <w:pStyle w:val="TableHeading"/>
            </w:pPr>
            <w:r w:rsidRPr="008006EB">
              <w:t>AFC00</w:t>
            </w:r>
          </w:p>
        </w:tc>
      </w:tr>
      <w:tr w:rsidR="008006EB" w:rsidRPr="008006EB" w:rsidTr="00780D3C">
        <w:trPr>
          <w:jc w:val="center"/>
        </w:trPr>
        <w:tc>
          <w:tcPr>
            <w:tcW w:w="1163" w:type="dxa"/>
            <w:tcBorders>
              <w:left w:val="single" w:sz="4" w:space="0" w:color="auto"/>
            </w:tcBorders>
          </w:tcPr>
          <w:p w:rsidR="008006EB" w:rsidRPr="008006EB" w:rsidRDefault="008006EB" w:rsidP="00780D3C">
            <w:pPr>
              <w:pStyle w:val="TableText"/>
              <w:jc w:val="center"/>
            </w:pPr>
            <w:r w:rsidRPr="008006EB">
              <w:t>20</w:t>
            </w:r>
          </w:p>
        </w:tc>
        <w:tc>
          <w:tcPr>
            <w:tcW w:w="2437" w:type="dxa"/>
          </w:tcPr>
          <w:p w:rsidR="008006EB" w:rsidRPr="008006EB" w:rsidRDefault="008006EB" w:rsidP="00780D3C">
            <w:pPr>
              <w:pStyle w:val="TableText"/>
              <w:jc w:val="center"/>
            </w:pPr>
            <w:r w:rsidRPr="008006EB">
              <w:t>0.000464</w:t>
            </w:r>
          </w:p>
        </w:tc>
        <w:tc>
          <w:tcPr>
            <w:tcW w:w="2717" w:type="dxa"/>
            <w:tcBorders>
              <w:right w:val="single" w:sz="4" w:space="0" w:color="auto"/>
            </w:tcBorders>
          </w:tcPr>
          <w:p w:rsidR="008006EB" w:rsidRPr="008006EB" w:rsidRDefault="008006EB" w:rsidP="00780D3C">
            <w:pPr>
              <w:pStyle w:val="TableText"/>
              <w:jc w:val="center"/>
            </w:pPr>
            <w:r w:rsidRPr="008006EB">
              <w:t>0.000194</w:t>
            </w:r>
          </w:p>
        </w:tc>
      </w:tr>
      <w:tr w:rsidR="008006EB" w:rsidRPr="008006EB" w:rsidTr="00780D3C">
        <w:trPr>
          <w:jc w:val="center"/>
        </w:trPr>
        <w:tc>
          <w:tcPr>
            <w:tcW w:w="1163" w:type="dxa"/>
            <w:tcBorders>
              <w:left w:val="single" w:sz="4" w:space="0" w:color="auto"/>
            </w:tcBorders>
          </w:tcPr>
          <w:p w:rsidR="008006EB" w:rsidRPr="008006EB" w:rsidRDefault="008006EB" w:rsidP="00780D3C">
            <w:pPr>
              <w:pStyle w:val="TableText"/>
              <w:jc w:val="center"/>
            </w:pPr>
            <w:r w:rsidRPr="008006EB">
              <w:t>25</w:t>
            </w:r>
          </w:p>
        </w:tc>
        <w:tc>
          <w:tcPr>
            <w:tcW w:w="2437" w:type="dxa"/>
          </w:tcPr>
          <w:p w:rsidR="008006EB" w:rsidRPr="008006EB" w:rsidRDefault="008006EB" w:rsidP="00780D3C">
            <w:pPr>
              <w:pStyle w:val="TableText"/>
              <w:jc w:val="center"/>
            </w:pPr>
            <w:r w:rsidRPr="008006EB">
              <w:t>0.000485</w:t>
            </w:r>
          </w:p>
        </w:tc>
        <w:tc>
          <w:tcPr>
            <w:tcW w:w="2717" w:type="dxa"/>
            <w:tcBorders>
              <w:right w:val="single" w:sz="4" w:space="0" w:color="auto"/>
            </w:tcBorders>
          </w:tcPr>
          <w:p w:rsidR="008006EB" w:rsidRPr="008006EB" w:rsidRDefault="008006EB" w:rsidP="00780D3C">
            <w:pPr>
              <w:pStyle w:val="TableText"/>
              <w:jc w:val="center"/>
            </w:pPr>
            <w:r w:rsidRPr="008006EB">
              <w:t>0.000230</w:t>
            </w:r>
          </w:p>
        </w:tc>
      </w:tr>
      <w:tr w:rsidR="008006EB" w:rsidRPr="008006EB" w:rsidTr="00780D3C">
        <w:trPr>
          <w:jc w:val="center"/>
        </w:trPr>
        <w:tc>
          <w:tcPr>
            <w:tcW w:w="1163" w:type="dxa"/>
            <w:tcBorders>
              <w:left w:val="single" w:sz="4" w:space="0" w:color="auto"/>
            </w:tcBorders>
          </w:tcPr>
          <w:p w:rsidR="008006EB" w:rsidRPr="008006EB" w:rsidRDefault="008006EB" w:rsidP="00780D3C">
            <w:pPr>
              <w:pStyle w:val="TableText"/>
              <w:jc w:val="center"/>
            </w:pPr>
            <w:r w:rsidRPr="008006EB">
              <w:t>30</w:t>
            </w:r>
          </w:p>
        </w:tc>
        <w:tc>
          <w:tcPr>
            <w:tcW w:w="2437" w:type="dxa"/>
          </w:tcPr>
          <w:p w:rsidR="008006EB" w:rsidRPr="008006EB" w:rsidRDefault="008006EB" w:rsidP="00780D3C">
            <w:pPr>
              <w:pStyle w:val="TableText"/>
              <w:jc w:val="center"/>
            </w:pPr>
            <w:r w:rsidRPr="008006EB">
              <w:t>0.000531</w:t>
            </w:r>
          </w:p>
        </w:tc>
        <w:tc>
          <w:tcPr>
            <w:tcW w:w="2717" w:type="dxa"/>
            <w:tcBorders>
              <w:right w:val="single" w:sz="4" w:space="0" w:color="auto"/>
            </w:tcBorders>
          </w:tcPr>
          <w:p w:rsidR="008006EB" w:rsidRPr="008006EB" w:rsidRDefault="008006EB" w:rsidP="00780D3C">
            <w:pPr>
              <w:pStyle w:val="TableText"/>
              <w:jc w:val="center"/>
            </w:pPr>
            <w:r w:rsidRPr="008006EB">
              <w:t>0.000295</w:t>
            </w:r>
          </w:p>
        </w:tc>
      </w:tr>
      <w:tr w:rsidR="008006EB" w:rsidRPr="008006EB" w:rsidTr="00780D3C">
        <w:trPr>
          <w:jc w:val="center"/>
        </w:trPr>
        <w:tc>
          <w:tcPr>
            <w:tcW w:w="1163" w:type="dxa"/>
            <w:tcBorders>
              <w:left w:val="single" w:sz="4" w:space="0" w:color="auto"/>
            </w:tcBorders>
          </w:tcPr>
          <w:p w:rsidR="008006EB" w:rsidRPr="008006EB" w:rsidRDefault="008006EB" w:rsidP="00780D3C">
            <w:pPr>
              <w:pStyle w:val="TableText"/>
              <w:jc w:val="center"/>
            </w:pPr>
            <w:r w:rsidRPr="008006EB">
              <w:t>35</w:t>
            </w:r>
          </w:p>
        </w:tc>
        <w:tc>
          <w:tcPr>
            <w:tcW w:w="2437" w:type="dxa"/>
          </w:tcPr>
          <w:p w:rsidR="008006EB" w:rsidRPr="008006EB" w:rsidRDefault="008006EB" w:rsidP="00780D3C">
            <w:pPr>
              <w:pStyle w:val="TableText"/>
              <w:jc w:val="center"/>
            </w:pPr>
            <w:r w:rsidRPr="008006EB">
              <w:t>0.000626</w:t>
            </w:r>
          </w:p>
        </w:tc>
        <w:tc>
          <w:tcPr>
            <w:tcW w:w="2717" w:type="dxa"/>
            <w:tcBorders>
              <w:right w:val="single" w:sz="4" w:space="0" w:color="auto"/>
            </w:tcBorders>
          </w:tcPr>
          <w:p w:rsidR="008006EB" w:rsidRPr="008006EB" w:rsidRDefault="008006EB" w:rsidP="00780D3C">
            <w:pPr>
              <w:pStyle w:val="TableText"/>
              <w:jc w:val="center"/>
            </w:pPr>
            <w:r w:rsidRPr="008006EB">
              <w:t>0.000408</w:t>
            </w:r>
          </w:p>
        </w:tc>
      </w:tr>
      <w:tr w:rsidR="008006EB" w:rsidRPr="008006EB" w:rsidTr="00780D3C">
        <w:trPr>
          <w:jc w:val="center"/>
        </w:trPr>
        <w:tc>
          <w:tcPr>
            <w:tcW w:w="1163" w:type="dxa"/>
            <w:tcBorders>
              <w:left w:val="single" w:sz="4" w:space="0" w:color="auto"/>
            </w:tcBorders>
          </w:tcPr>
          <w:p w:rsidR="008006EB" w:rsidRPr="008006EB" w:rsidRDefault="008006EB" w:rsidP="00780D3C">
            <w:pPr>
              <w:pStyle w:val="TableText"/>
              <w:jc w:val="center"/>
            </w:pPr>
            <w:r w:rsidRPr="008006EB">
              <w:t>40</w:t>
            </w:r>
          </w:p>
        </w:tc>
        <w:tc>
          <w:tcPr>
            <w:tcW w:w="2437" w:type="dxa"/>
          </w:tcPr>
          <w:p w:rsidR="008006EB" w:rsidRPr="008006EB" w:rsidRDefault="008006EB" w:rsidP="00780D3C">
            <w:pPr>
              <w:pStyle w:val="TableText"/>
              <w:jc w:val="center"/>
            </w:pPr>
            <w:r w:rsidRPr="008006EB">
              <w:t>0.000820</w:t>
            </w:r>
          </w:p>
        </w:tc>
        <w:tc>
          <w:tcPr>
            <w:tcW w:w="2717" w:type="dxa"/>
            <w:tcBorders>
              <w:right w:val="single" w:sz="4" w:space="0" w:color="auto"/>
            </w:tcBorders>
          </w:tcPr>
          <w:p w:rsidR="008006EB" w:rsidRPr="008006EB" w:rsidRDefault="008006EB" w:rsidP="00780D3C">
            <w:pPr>
              <w:pStyle w:val="TableText"/>
              <w:jc w:val="center"/>
              <w:rPr>
                <w:b/>
              </w:rPr>
            </w:pPr>
            <w:r w:rsidRPr="008006EB">
              <w:t>0.000604</w:t>
            </w:r>
          </w:p>
        </w:tc>
      </w:tr>
      <w:tr w:rsidR="008006EB" w:rsidRPr="008006EB" w:rsidTr="00780D3C">
        <w:trPr>
          <w:jc w:val="center"/>
        </w:trPr>
        <w:tc>
          <w:tcPr>
            <w:tcW w:w="1163" w:type="dxa"/>
            <w:tcBorders>
              <w:left w:val="single" w:sz="4" w:space="0" w:color="auto"/>
            </w:tcBorders>
          </w:tcPr>
          <w:p w:rsidR="008006EB" w:rsidRPr="008006EB" w:rsidRDefault="008006EB" w:rsidP="00780D3C">
            <w:pPr>
              <w:pStyle w:val="TableText"/>
              <w:jc w:val="center"/>
            </w:pPr>
            <w:r w:rsidRPr="008006EB">
              <w:t>45</w:t>
            </w:r>
          </w:p>
        </w:tc>
        <w:tc>
          <w:tcPr>
            <w:tcW w:w="2437" w:type="dxa"/>
          </w:tcPr>
          <w:p w:rsidR="008006EB" w:rsidRPr="008006EB" w:rsidRDefault="008006EB" w:rsidP="00780D3C">
            <w:pPr>
              <w:pStyle w:val="TableText"/>
              <w:jc w:val="center"/>
            </w:pPr>
            <w:r w:rsidRPr="008006EB">
              <w:t>0.001208</w:t>
            </w:r>
          </w:p>
        </w:tc>
        <w:tc>
          <w:tcPr>
            <w:tcW w:w="2717" w:type="dxa"/>
            <w:tcBorders>
              <w:right w:val="single" w:sz="4" w:space="0" w:color="auto"/>
            </w:tcBorders>
          </w:tcPr>
          <w:p w:rsidR="008006EB" w:rsidRPr="008006EB" w:rsidRDefault="008006EB" w:rsidP="00780D3C">
            <w:pPr>
              <w:pStyle w:val="TableText"/>
              <w:jc w:val="center"/>
            </w:pPr>
            <w:r w:rsidRPr="008006EB">
              <w:t>0.000949</w:t>
            </w:r>
          </w:p>
        </w:tc>
      </w:tr>
      <w:tr w:rsidR="008006EB" w:rsidRPr="008006EB" w:rsidTr="00780D3C">
        <w:trPr>
          <w:jc w:val="center"/>
        </w:trPr>
        <w:tc>
          <w:tcPr>
            <w:tcW w:w="1163" w:type="dxa"/>
            <w:tcBorders>
              <w:left w:val="single" w:sz="4" w:space="0" w:color="auto"/>
            </w:tcBorders>
          </w:tcPr>
          <w:p w:rsidR="008006EB" w:rsidRPr="008006EB" w:rsidRDefault="008006EB" w:rsidP="00780D3C">
            <w:pPr>
              <w:pStyle w:val="TableText"/>
              <w:jc w:val="center"/>
            </w:pPr>
            <w:r w:rsidRPr="008006EB">
              <w:t>50</w:t>
            </w:r>
          </w:p>
        </w:tc>
        <w:tc>
          <w:tcPr>
            <w:tcW w:w="2437" w:type="dxa"/>
          </w:tcPr>
          <w:p w:rsidR="008006EB" w:rsidRPr="008006EB" w:rsidRDefault="008006EB" w:rsidP="00780D3C">
            <w:pPr>
              <w:pStyle w:val="TableText"/>
              <w:jc w:val="center"/>
            </w:pPr>
            <w:r w:rsidRPr="008006EB">
              <w:t>0.001963</w:t>
            </w:r>
          </w:p>
        </w:tc>
        <w:tc>
          <w:tcPr>
            <w:tcW w:w="2717" w:type="dxa"/>
            <w:tcBorders>
              <w:right w:val="single" w:sz="4" w:space="0" w:color="auto"/>
            </w:tcBorders>
          </w:tcPr>
          <w:p w:rsidR="008006EB" w:rsidRPr="008006EB" w:rsidRDefault="008006EB" w:rsidP="00780D3C">
            <w:pPr>
              <w:pStyle w:val="TableText"/>
              <w:jc w:val="center"/>
            </w:pPr>
            <w:r w:rsidRPr="008006EB">
              <w:t>0.001550</w:t>
            </w:r>
          </w:p>
        </w:tc>
      </w:tr>
      <w:tr w:rsidR="008006EB" w:rsidRPr="008006EB" w:rsidTr="00780D3C">
        <w:trPr>
          <w:jc w:val="center"/>
        </w:trPr>
        <w:tc>
          <w:tcPr>
            <w:tcW w:w="1163" w:type="dxa"/>
            <w:tcBorders>
              <w:left w:val="single" w:sz="4" w:space="0" w:color="auto"/>
            </w:tcBorders>
          </w:tcPr>
          <w:p w:rsidR="008006EB" w:rsidRPr="008006EB" w:rsidRDefault="008006EB" w:rsidP="00780D3C">
            <w:pPr>
              <w:pStyle w:val="TableText"/>
              <w:jc w:val="center"/>
            </w:pPr>
            <w:r w:rsidRPr="008006EB">
              <w:t>55</w:t>
            </w:r>
          </w:p>
        </w:tc>
        <w:tc>
          <w:tcPr>
            <w:tcW w:w="2437" w:type="dxa"/>
          </w:tcPr>
          <w:p w:rsidR="008006EB" w:rsidRPr="008006EB" w:rsidRDefault="008006EB" w:rsidP="00780D3C">
            <w:pPr>
              <w:pStyle w:val="TableText"/>
              <w:jc w:val="center"/>
            </w:pPr>
            <w:r w:rsidRPr="008006EB">
              <w:t>0.003400</w:t>
            </w:r>
          </w:p>
        </w:tc>
        <w:tc>
          <w:tcPr>
            <w:tcW w:w="2717" w:type="dxa"/>
            <w:tcBorders>
              <w:right w:val="single" w:sz="4" w:space="0" w:color="auto"/>
            </w:tcBorders>
          </w:tcPr>
          <w:p w:rsidR="008006EB" w:rsidRPr="008006EB" w:rsidRDefault="008006EB" w:rsidP="00780D3C">
            <w:pPr>
              <w:pStyle w:val="TableText"/>
              <w:jc w:val="center"/>
            </w:pPr>
            <w:r w:rsidRPr="008006EB">
              <w:t>0.002600</w:t>
            </w:r>
          </w:p>
        </w:tc>
      </w:tr>
      <w:tr w:rsidR="008006EB" w:rsidRPr="008006EB" w:rsidTr="00780D3C">
        <w:trPr>
          <w:jc w:val="center"/>
        </w:trPr>
        <w:tc>
          <w:tcPr>
            <w:tcW w:w="1163" w:type="dxa"/>
            <w:tcBorders>
              <w:left w:val="single" w:sz="4" w:space="0" w:color="auto"/>
            </w:tcBorders>
          </w:tcPr>
          <w:p w:rsidR="008006EB" w:rsidRPr="008006EB" w:rsidRDefault="008006EB" w:rsidP="00780D3C">
            <w:pPr>
              <w:pStyle w:val="TableText"/>
              <w:jc w:val="center"/>
            </w:pPr>
            <w:r w:rsidRPr="008006EB">
              <w:t>60</w:t>
            </w:r>
          </w:p>
        </w:tc>
        <w:tc>
          <w:tcPr>
            <w:tcW w:w="2437" w:type="dxa"/>
          </w:tcPr>
          <w:p w:rsidR="008006EB" w:rsidRPr="008006EB" w:rsidRDefault="008006EB" w:rsidP="00780D3C">
            <w:pPr>
              <w:pStyle w:val="TableText"/>
              <w:jc w:val="center"/>
            </w:pPr>
            <w:r w:rsidRPr="008006EB">
              <w:t>0.006064</w:t>
            </w:r>
          </w:p>
        </w:tc>
        <w:tc>
          <w:tcPr>
            <w:tcW w:w="2717" w:type="dxa"/>
            <w:tcBorders>
              <w:right w:val="single" w:sz="4" w:space="0" w:color="auto"/>
            </w:tcBorders>
          </w:tcPr>
          <w:p w:rsidR="008006EB" w:rsidRPr="008006EB" w:rsidRDefault="008006EB" w:rsidP="00780D3C">
            <w:pPr>
              <w:pStyle w:val="TableText"/>
              <w:jc w:val="center"/>
            </w:pPr>
            <w:r w:rsidRPr="008006EB">
              <w:t>0.004433</w:t>
            </w:r>
          </w:p>
        </w:tc>
      </w:tr>
      <w:tr w:rsidR="008006EB" w:rsidRPr="008006EB" w:rsidTr="00780D3C">
        <w:trPr>
          <w:jc w:val="center"/>
        </w:trPr>
        <w:tc>
          <w:tcPr>
            <w:tcW w:w="1163" w:type="dxa"/>
            <w:tcBorders>
              <w:left w:val="single" w:sz="4" w:space="0" w:color="auto"/>
              <w:bottom w:val="single" w:sz="4" w:space="0" w:color="auto"/>
            </w:tcBorders>
          </w:tcPr>
          <w:p w:rsidR="008006EB" w:rsidRPr="008006EB" w:rsidRDefault="008006EB" w:rsidP="00780D3C">
            <w:pPr>
              <w:pStyle w:val="TableText"/>
              <w:jc w:val="center"/>
            </w:pPr>
            <w:r w:rsidRPr="008006EB">
              <w:t>65</w:t>
            </w:r>
          </w:p>
        </w:tc>
        <w:tc>
          <w:tcPr>
            <w:tcW w:w="2437" w:type="dxa"/>
            <w:tcBorders>
              <w:bottom w:val="single" w:sz="4" w:space="0" w:color="auto"/>
            </w:tcBorders>
          </w:tcPr>
          <w:p w:rsidR="008006EB" w:rsidRPr="008006EB" w:rsidRDefault="008006EB" w:rsidP="00780D3C">
            <w:pPr>
              <w:pStyle w:val="TableText"/>
              <w:jc w:val="center"/>
            </w:pPr>
            <w:r w:rsidRPr="008006EB">
              <w:t>0.010875</w:t>
            </w:r>
          </w:p>
        </w:tc>
        <w:tc>
          <w:tcPr>
            <w:tcW w:w="2717" w:type="dxa"/>
            <w:tcBorders>
              <w:bottom w:val="single" w:sz="4" w:space="0" w:color="auto"/>
              <w:right w:val="single" w:sz="4" w:space="0" w:color="auto"/>
            </w:tcBorders>
          </w:tcPr>
          <w:p w:rsidR="008006EB" w:rsidRPr="008006EB" w:rsidRDefault="008006EB" w:rsidP="00780D3C">
            <w:pPr>
              <w:pStyle w:val="TableText"/>
              <w:jc w:val="center"/>
            </w:pPr>
            <w:r w:rsidRPr="008006EB">
              <w:t>0.007628</w:t>
            </w:r>
          </w:p>
        </w:tc>
      </w:tr>
    </w:tbl>
    <w:p w:rsidR="008006EB" w:rsidRPr="008006EB" w:rsidRDefault="008006EB" w:rsidP="00780D3C">
      <w:pPr>
        <w:pStyle w:val="text"/>
        <w:spacing w:after="240"/>
      </w:pPr>
      <w:r w:rsidRPr="008006EB">
        <w:t>Mortality in retirement (normal health): probability of death within one year</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tblPr>
      <w:tblGrid>
        <w:gridCol w:w="1200"/>
        <w:gridCol w:w="3800"/>
        <w:gridCol w:w="3949"/>
      </w:tblGrid>
      <w:tr w:rsidR="009B0997" w:rsidRPr="008006EB" w:rsidTr="009E4930">
        <w:trPr>
          <w:jc w:val="center"/>
        </w:trPr>
        <w:tc>
          <w:tcPr>
            <w:tcW w:w="1200" w:type="dxa"/>
            <w:tcBorders>
              <w:top w:val="single" w:sz="4" w:space="0" w:color="auto"/>
              <w:left w:val="single" w:sz="4" w:space="0" w:color="auto"/>
            </w:tcBorders>
          </w:tcPr>
          <w:p w:rsidR="008006EB" w:rsidRPr="008006EB" w:rsidRDefault="008006EB" w:rsidP="00780D3C">
            <w:pPr>
              <w:pStyle w:val="TableHeading"/>
            </w:pPr>
            <w:r w:rsidRPr="008006EB">
              <w:t>Age</w:t>
            </w:r>
          </w:p>
          <w:p w:rsidR="008006EB" w:rsidRPr="008006EB" w:rsidRDefault="008006EB" w:rsidP="00780D3C">
            <w:pPr>
              <w:pStyle w:val="TableHeading"/>
            </w:pPr>
            <w:r w:rsidRPr="008006EB">
              <w:t>x</w:t>
            </w:r>
          </w:p>
        </w:tc>
        <w:tc>
          <w:tcPr>
            <w:tcW w:w="3800" w:type="dxa"/>
            <w:tcBorders>
              <w:top w:val="single" w:sz="4" w:space="0" w:color="auto"/>
            </w:tcBorders>
          </w:tcPr>
          <w:p w:rsidR="008006EB" w:rsidRPr="008006EB" w:rsidRDefault="008006EB" w:rsidP="00780D3C">
            <w:pPr>
              <w:pStyle w:val="TableHeading"/>
              <w:rPr>
                <w:vertAlign w:val="subscript"/>
              </w:rPr>
            </w:pPr>
            <w:r w:rsidRPr="008006EB">
              <w:t>Male death rate  q</w:t>
            </w:r>
            <w:r w:rsidRPr="008006EB">
              <w:rPr>
                <w:vertAlign w:val="subscript"/>
              </w:rPr>
              <w:t>x</w:t>
            </w:r>
          </w:p>
          <w:p w:rsidR="008006EB" w:rsidRPr="006A2F90" w:rsidRDefault="009D03C6" w:rsidP="00C47EAD">
            <w:pPr>
              <w:pStyle w:val="TableHeading"/>
            </w:pPr>
            <w:r>
              <w:t>SAPS S2</w:t>
            </w:r>
            <w:r w:rsidR="006A2F90">
              <w:t xml:space="preserve"> series light tables with CMI</w:t>
            </w:r>
            <w:r w:rsidR="006A2F90">
              <w:rPr>
                <w:u w:val="single"/>
              </w:rPr>
              <w:t> </w:t>
            </w:r>
            <w:r>
              <w:t>2013</w:t>
            </w:r>
            <w:r w:rsidR="006A2F90">
              <w:t xml:space="preserve"> projections, with a long term rate of impro</w:t>
            </w:r>
            <w:r w:rsidR="003108B8">
              <w:t>vement in mortality rates of 1.</w:t>
            </w:r>
            <w:r w:rsidR="006A2F90">
              <w:t>5% pa, with a scaling factor of 1</w:t>
            </w:r>
            <w:r w:rsidR="00C47EAD">
              <w:t>0</w:t>
            </w:r>
            <w:r w:rsidR="006A2F90">
              <w:t>0%</w:t>
            </w:r>
          </w:p>
        </w:tc>
        <w:tc>
          <w:tcPr>
            <w:tcW w:w="3949" w:type="dxa"/>
            <w:tcBorders>
              <w:top w:val="single" w:sz="4" w:space="0" w:color="auto"/>
              <w:right w:val="single" w:sz="4" w:space="0" w:color="auto"/>
            </w:tcBorders>
          </w:tcPr>
          <w:p w:rsidR="008006EB" w:rsidRPr="008006EB" w:rsidRDefault="008006EB" w:rsidP="00780D3C">
            <w:pPr>
              <w:pStyle w:val="TableHeading"/>
              <w:rPr>
                <w:vertAlign w:val="subscript"/>
              </w:rPr>
            </w:pPr>
            <w:r w:rsidRPr="008006EB">
              <w:t>Female death rate  q</w:t>
            </w:r>
            <w:r w:rsidRPr="008006EB">
              <w:rPr>
                <w:vertAlign w:val="subscript"/>
              </w:rPr>
              <w:t>x</w:t>
            </w:r>
          </w:p>
          <w:p w:rsidR="008006EB" w:rsidRPr="008006EB" w:rsidRDefault="006A2F90" w:rsidP="00C47EAD">
            <w:pPr>
              <w:pStyle w:val="TableHeading"/>
            </w:pPr>
            <w:r>
              <w:t>SAPS S</w:t>
            </w:r>
            <w:r w:rsidR="00C47EAD">
              <w:t>2</w:t>
            </w:r>
            <w:r>
              <w:t xml:space="preserve"> series light tables with CMI</w:t>
            </w:r>
            <w:r>
              <w:rPr>
                <w:u w:val="single"/>
              </w:rPr>
              <w:t> </w:t>
            </w:r>
            <w:r>
              <w:t>201</w:t>
            </w:r>
            <w:r w:rsidR="00C47EAD">
              <w:t>3</w:t>
            </w:r>
            <w:r>
              <w:t xml:space="preserve"> projections, with a long term rate of impro</w:t>
            </w:r>
            <w:r w:rsidR="00C47EAD">
              <w:t>vement in mortality rates of 1.</w:t>
            </w:r>
            <w:r>
              <w:t>5%</w:t>
            </w:r>
            <w:r w:rsidR="00C47EAD">
              <w:t xml:space="preserve"> pa, with a scaling factor of 10</w:t>
            </w:r>
            <w:r>
              <w:t>0%</w:t>
            </w:r>
          </w:p>
        </w:tc>
      </w:tr>
      <w:tr w:rsidR="00EC2966" w:rsidRPr="008006EB" w:rsidTr="009E4930">
        <w:trPr>
          <w:jc w:val="center"/>
        </w:trPr>
        <w:tc>
          <w:tcPr>
            <w:tcW w:w="1200" w:type="dxa"/>
            <w:tcBorders>
              <w:left w:val="single" w:sz="4" w:space="0" w:color="auto"/>
            </w:tcBorders>
          </w:tcPr>
          <w:p w:rsidR="00EC2966" w:rsidRPr="008006EB" w:rsidRDefault="00EC2966" w:rsidP="00156C6B">
            <w:pPr>
              <w:pStyle w:val="TableText"/>
              <w:jc w:val="center"/>
            </w:pPr>
            <w:r w:rsidRPr="008006EB">
              <w:t>60</w:t>
            </w:r>
          </w:p>
        </w:tc>
        <w:tc>
          <w:tcPr>
            <w:tcW w:w="3800" w:type="dxa"/>
          </w:tcPr>
          <w:p w:rsidR="00EC2966" w:rsidRPr="008006EB" w:rsidRDefault="00615E67" w:rsidP="009E4930">
            <w:pPr>
              <w:pStyle w:val="TableText"/>
              <w:tabs>
                <w:tab w:val="decimal" w:pos="1453"/>
              </w:tabs>
              <w:jc w:val="left"/>
            </w:pPr>
            <w:r>
              <w:t>0.003821</w:t>
            </w:r>
          </w:p>
        </w:tc>
        <w:tc>
          <w:tcPr>
            <w:tcW w:w="3949" w:type="dxa"/>
            <w:tcBorders>
              <w:right w:val="single" w:sz="4" w:space="0" w:color="auto"/>
            </w:tcBorders>
          </w:tcPr>
          <w:p w:rsidR="00EC2966" w:rsidRPr="008006EB" w:rsidRDefault="00615E67" w:rsidP="009E4930">
            <w:pPr>
              <w:pStyle w:val="TableText"/>
              <w:tabs>
                <w:tab w:val="decimal" w:pos="1553"/>
              </w:tabs>
              <w:jc w:val="left"/>
            </w:pPr>
            <w:r>
              <w:t>0.004464</w:t>
            </w:r>
          </w:p>
        </w:tc>
      </w:tr>
      <w:tr w:rsidR="00EC2966" w:rsidRPr="008006EB" w:rsidTr="009E4930">
        <w:trPr>
          <w:jc w:val="center"/>
        </w:trPr>
        <w:tc>
          <w:tcPr>
            <w:tcW w:w="1200" w:type="dxa"/>
            <w:tcBorders>
              <w:left w:val="single" w:sz="4" w:space="0" w:color="auto"/>
            </w:tcBorders>
          </w:tcPr>
          <w:p w:rsidR="00EC2966" w:rsidRPr="008006EB" w:rsidRDefault="00EC2966" w:rsidP="00156C6B">
            <w:pPr>
              <w:pStyle w:val="TableText"/>
              <w:jc w:val="center"/>
            </w:pPr>
            <w:r w:rsidRPr="008006EB">
              <w:t>65</w:t>
            </w:r>
          </w:p>
        </w:tc>
        <w:tc>
          <w:tcPr>
            <w:tcW w:w="3800" w:type="dxa"/>
          </w:tcPr>
          <w:p w:rsidR="00EC2966" w:rsidRPr="008006EB" w:rsidRDefault="00615E67" w:rsidP="009E4930">
            <w:pPr>
              <w:pStyle w:val="TableText"/>
              <w:tabs>
                <w:tab w:val="decimal" w:pos="1453"/>
              </w:tabs>
              <w:jc w:val="left"/>
            </w:pPr>
            <w:r>
              <w:t>0.005615</w:t>
            </w:r>
          </w:p>
        </w:tc>
        <w:tc>
          <w:tcPr>
            <w:tcW w:w="3949" w:type="dxa"/>
            <w:tcBorders>
              <w:right w:val="single" w:sz="4" w:space="0" w:color="auto"/>
            </w:tcBorders>
          </w:tcPr>
          <w:p w:rsidR="00EC2966" w:rsidRPr="008006EB" w:rsidRDefault="00615E67" w:rsidP="009E4930">
            <w:pPr>
              <w:pStyle w:val="TableText"/>
              <w:tabs>
                <w:tab w:val="decimal" w:pos="1553"/>
              </w:tabs>
              <w:jc w:val="left"/>
            </w:pPr>
            <w:r>
              <w:t>0.005742</w:t>
            </w:r>
          </w:p>
        </w:tc>
      </w:tr>
      <w:tr w:rsidR="00EC2966" w:rsidRPr="008006EB" w:rsidTr="009E4930">
        <w:trPr>
          <w:jc w:val="center"/>
        </w:trPr>
        <w:tc>
          <w:tcPr>
            <w:tcW w:w="1200" w:type="dxa"/>
            <w:tcBorders>
              <w:left w:val="single" w:sz="4" w:space="0" w:color="auto"/>
            </w:tcBorders>
          </w:tcPr>
          <w:p w:rsidR="00EC2966" w:rsidRPr="008006EB" w:rsidRDefault="00EC2966" w:rsidP="00156C6B">
            <w:pPr>
              <w:pStyle w:val="TableText"/>
              <w:jc w:val="center"/>
            </w:pPr>
            <w:r w:rsidRPr="008006EB">
              <w:t>70</w:t>
            </w:r>
          </w:p>
        </w:tc>
        <w:tc>
          <w:tcPr>
            <w:tcW w:w="3800" w:type="dxa"/>
          </w:tcPr>
          <w:p w:rsidR="00EC2966" w:rsidRPr="008006EB" w:rsidRDefault="00615E67" w:rsidP="009E4930">
            <w:pPr>
              <w:pStyle w:val="TableText"/>
              <w:tabs>
                <w:tab w:val="decimal" w:pos="1453"/>
              </w:tabs>
              <w:jc w:val="left"/>
            </w:pPr>
            <w:r>
              <w:t>0.010000</w:t>
            </w:r>
          </w:p>
        </w:tc>
        <w:tc>
          <w:tcPr>
            <w:tcW w:w="3949" w:type="dxa"/>
            <w:tcBorders>
              <w:right w:val="single" w:sz="4" w:space="0" w:color="auto"/>
            </w:tcBorders>
          </w:tcPr>
          <w:p w:rsidR="00EC2966" w:rsidRPr="008006EB" w:rsidRDefault="00615E67" w:rsidP="009E4930">
            <w:pPr>
              <w:pStyle w:val="TableText"/>
              <w:tabs>
                <w:tab w:val="decimal" w:pos="1553"/>
              </w:tabs>
              <w:jc w:val="left"/>
            </w:pPr>
            <w:r>
              <w:t>0.009023</w:t>
            </w:r>
          </w:p>
        </w:tc>
      </w:tr>
      <w:tr w:rsidR="00EC2966" w:rsidRPr="008006EB" w:rsidTr="009E4930">
        <w:trPr>
          <w:jc w:val="center"/>
        </w:trPr>
        <w:tc>
          <w:tcPr>
            <w:tcW w:w="1200" w:type="dxa"/>
            <w:tcBorders>
              <w:left w:val="single" w:sz="4" w:space="0" w:color="auto"/>
              <w:bottom w:val="single" w:sz="4" w:space="0" w:color="auto"/>
            </w:tcBorders>
          </w:tcPr>
          <w:p w:rsidR="00EC2966" w:rsidRPr="008006EB" w:rsidRDefault="00EC2966" w:rsidP="00156C6B">
            <w:pPr>
              <w:pStyle w:val="TableText"/>
              <w:jc w:val="center"/>
            </w:pPr>
            <w:r w:rsidRPr="008006EB">
              <w:t>75</w:t>
            </w:r>
          </w:p>
        </w:tc>
        <w:tc>
          <w:tcPr>
            <w:tcW w:w="3800" w:type="dxa"/>
            <w:tcBorders>
              <w:bottom w:val="single" w:sz="4" w:space="0" w:color="auto"/>
            </w:tcBorders>
          </w:tcPr>
          <w:p w:rsidR="00EC2966" w:rsidRPr="008006EB" w:rsidRDefault="00615E67" w:rsidP="009E4930">
            <w:pPr>
              <w:pStyle w:val="TableText"/>
              <w:tabs>
                <w:tab w:val="decimal" w:pos="1453"/>
              </w:tabs>
              <w:jc w:val="left"/>
            </w:pPr>
            <w:r>
              <w:t>0.018579</w:t>
            </w:r>
          </w:p>
        </w:tc>
        <w:tc>
          <w:tcPr>
            <w:tcW w:w="3949" w:type="dxa"/>
            <w:tcBorders>
              <w:bottom w:val="single" w:sz="4" w:space="0" w:color="auto"/>
              <w:right w:val="single" w:sz="4" w:space="0" w:color="auto"/>
            </w:tcBorders>
          </w:tcPr>
          <w:p w:rsidR="00EC2966" w:rsidRPr="008006EB" w:rsidRDefault="00615E67" w:rsidP="009E4930">
            <w:pPr>
              <w:pStyle w:val="TableText"/>
              <w:tabs>
                <w:tab w:val="decimal" w:pos="1553"/>
              </w:tabs>
              <w:jc w:val="left"/>
            </w:pPr>
            <w:r>
              <w:t>0.016104</w:t>
            </w:r>
          </w:p>
        </w:tc>
      </w:tr>
      <w:tr w:rsidR="00EC2966" w:rsidRPr="008006EB" w:rsidTr="009E4930">
        <w:trPr>
          <w:trHeight w:val="299"/>
          <w:jc w:val="center"/>
        </w:trPr>
        <w:tc>
          <w:tcPr>
            <w:tcW w:w="1200" w:type="dxa"/>
            <w:tcBorders>
              <w:top w:val="single" w:sz="4" w:space="0" w:color="auto"/>
              <w:left w:val="single" w:sz="4" w:space="0" w:color="auto"/>
              <w:bottom w:val="single" w:sz="4" w:space="0" w:color="auto"/>
            </w:tcBorders>
          </w:tcPr>
          <w:p w:rsidR="00EC2966" w:rsidRPr="008006EB" w:rsidRDefault="00EC2966" w:rsidP="00156C6B">
            <w:pPr>
              <w:pStyle w:val="TableText"/>
              <w:jc w:val="center"/>
            </w:pPr>
            <w:r w:rsidRPr="008006EB">
              <w:t>80</w:t>
            </w:r>
          </w:p>
        </w:tc>
        <w:tc>
          <w:tcPr>
            <w:tcW w:w="3800" w:type="dxa"/>
            <w:tcBorders>
              <w:top w:val="single" w:sz="4" w:space="0" w:color="auto"/>
              <w:bottom w:val="single" w:sz="4" w:space="0" w:color="auto"/>
            </w:tcBorders>
          </w:tcPr>
          <w:p w:rsidR="00EC2966" w:rsidRPr="008006EB" w:rsidRDefault="00615E67" w:rsidP="009E4930">
            <w:pPr>
              <w:pStyle w:val="TableText"/>
              <w:tabs>
                <w:tab w:val="decimal" w:pos="1453"/>
              </w:tabs>
              <w:jc w:val="left"/>
            </w:pPr>
            <w:r>
              <w:t>0.034734</w:t>
            </w:r>
          </w:p>
        </w:tc>
        <w:tc>
          <w:tcPr>
            <w:tcW w:w="3949" w:type="dxa"/>
            <w:tcBorders>
              <w:top w:val="single" w:sz="4" w:space="0" w:color="auto"/>
              <w:bottom w:val="single" w:sz="4" w:space="0" w:color="auto"/>
              <w:right w:val="single" w:sz="4" w:space="0" w:color="auto"/>
            </w:tcBorders>
          </w:tcPr>
          <w:p w:rsidR="00EC2966" w:rsidRPr="008006EB" w:rsidRDefault="00615E67" w:rsidP="009E4930">
            <w:pPr>
              <w:pStyle w:val="TableText"/>
              <w:tabs>
                <w:tab w:val="decimal" w:pos="1553"/>
              </w:tabs>
              <w:jc w:val="left"/>
            </w:pPr>
            <w:r>
              <w:t>0.030442</w:t>
            </w:r>
          </w:p>
        </w:tc>
      </w:tr>
      <w:tr w:rsidR="00EC2966" w:rsidRPr="008006EB" w:rsidTr="009E4930">
        <w:trPr>
          <w:jc w:val="center"/>
        </w:trPr>
        <w:tc>
          <w:tcPr>
            <w:tcW w:w="1200" w:type="dxa"/>
            <w:tcBorders>
              <w:left w:val="single" w:sz="4" w:space="0" w:color="auto"/>
            </w:tcBorders>
          </w:tcPr>
          <w:p w:rsidR="00EC2966" w:rsidRPr="008006EB" w:rsidRDefault="00EC2966" w:rsidP="00156C6B">
            <w:pPr>
              <w:pStyle w:val="TableText"/>
              <w:jc w:val="center"/>
            </w:pPr>
            <w:r w:rsidRPr="008006EB">
              <w:t>85</w:t>
            </w:r>
          </w:p>
        </w:tc>
        <w:tc>
          <w:tcPr>
            <w:tcW w:w="3800" w:type="dxa"/>
          </w:tcPr>
          <w:p w:rsidR="00EC2966" w:rsidRPr="008006EB" w:rsidRDefault="00615E67" w:rsidP="009E4930">
            <w:pPr>
              <w:pStyle w:val="TableText"/>
              <w:tabs>
                <w:tab w:val="decimal" w:pos="1453"/>
              </w:tabs>
              <w:jc w:val="left"/>
            </w:pPr>
            <w:r>
              <w:t>0.070136</w:t>
            </w:r>
          </w:p>
        </w:tc>
        <w:tc>
          <w:tcPr>
            <w:tcW w:w="3949" w:type="dxa"/>
            <w:tcBorders>
              <w:right w:val="single" w:sz="4" w:space="0" w:color="auto"/>
            </w:tcBorders>
          </w:tcPr>
          <w:p w:rsidR="00EC2966" w:rsidRPr="008006EB" w:rsidRDefault="00615E67" w:rsidP="009E4930">
            <w:pPr>
              <w:pStyle w:val="TableText"/>
              <w:tabs>
                <w:tab w:val="decimal" w:pos="1553"/>
              </w:tabs>
              <w:jc w:val="left"/>
            </w:pPr>
            <w:r>
              <w:t>0.062068</w:t>
            </w:r>
          </w:p>
        </w:tc>
      </w:tr>
      <w:tr w:rsidR="00EC2966" w:rsidRPr="008006EB" w:rsidTr="009E4930">
        <w:trPr>
          <w:jc w:val="center"/>
        </w:trPr>
        <w:tc>
          <w:tcPr>
            <w:tcW w:w="1200" w:type="dxa"/>
            <w:tcBorders>
              <w:left w:val="single" w:sz="4" w:space="0" w:color="auto"/>
            </w:tcBorders>
          </w:tcPr>
          <w:p w:rsidR="00EC2966" w:rsidRPr="008006EB" w:rsidRDefault="00EC2966" w:rsidP="00156C6B">
            <w:pPr>
              <w:pStyle w:val="TableText"/>
              <w:jc w:val="center"/>
            </w:pPr>
            <w:r w:rsidRPr="008006EB">
              <w:t>90</w:t>
            </w:r>
          </w:p>
        </w:tc>
        <w:tc>
          <w:tcPr>
            <w:tcW w:w="3800" w:type="dxa"/>
          </w:tcPr>
          <w:p w:rsidR="00EC2966" w:rsidRPr="008006EB" w:rsidRDefault="00615E67" w:rsidP="009E4930">
            <w:pPr>
              <w:pStyle w:val="TableText"/>
              <w:tabs>
                <w:tab w:val="decimal" w:pos="1453"/>
              </w:tabs>
              <w:jc w:val="left"/>
            </w:pPr>
            <w:r>
              <w:t>0.141795</w:t>
            </w:r>
          </w:p>
        </w:tc>
        <w:tc>
          <w:tcPr>
            <w:tcW w:w="3949" w:type="dxa"/>
            <w:tcBorders>
              <w:right w:val="single" w:sz="4" w:space="0" w:color="auto"/>
            </w:tcBorders>
          </w:tcPr>
          <w:p w:rsidR="00EC2966" w:rsidRPr="008006EB" w:rsidRDefault="00615E67" w:rsidP="00615E67">
            <w:pPr>
              <w:pStyle w:val="TableText"/>
              <w:tabs>
                <w:tab w:val="decimal" w:pos="1553"/>
              </w:tabs>
              <w:jc w:val="left"/>
            </w:pPr>
            <w:r>
              <w:t>0.119193</w:t>
            </w:r>
          </w:p>
        </w:tc>
      </w:tr>
      <w:tr w:rsidR="00EC2966" w:rsidRPr="008006EB" w:rsidTr="009E4930">
        <w:trPr>
          <w:jc w:val="center"/>
        </w:trPr>
        <w:tc>
          <w:tcPr>
            <w:tcW w:w="1200" w:type="dxa"/>
            <w:tcBorders>
              <w:left w:val="single" w:sz="4" w:space="0" w:color="auto"/>
            </w:tcBorders>
          </w:tcPr>
          <w:p w:rsidR="00EC2966" w:rsidRPr="008006EB" w:rsidRDefault="00EC2966" w:rsidP="00156C6B">
            <w:pPr>
              <w:pStyle w:val="TableText"/>
              <w:jc w:val="center"/>
            </w:pPr>
            <w:r w:rsidRPr="008006EB">
              <w:t>95</w:t>
            </w:r>
          </w:p>
        </w:tc>
        <w:tc>
          <w:tcPr>
            <w:tcW w:w="3800" w:type="dxa"/>
          </w:tcPr>
          <w:p w:rsidR="00EC2966" w:rsidRPr="008006EB" w:rsidRDefault="00615E67" w:rsidP="009E4930">
            <w:pPr>
              <w:pStyle w:val="TableText"/>
              <w:tabs>
                <w:tab w:val="decimal" w:pos="1453"/>
              </w:tabs>
              <w:jc w:val="left"/>
            </w:pPr>
            <w:r>
              <w:t>0.248163</w:t>
            </w:r>
          </w:p>
        </w:tc>
        <w:tc>
          <w:tcPr>
            <w:tcW w:w="3949" w:type="dxa"/>
            <w:tcBorders>
              <w:right w:val="single" w:sz="4" w:space="0" w:color="auto"/>
            </w:tcBorders>
          </w:tcPr>
          <w:p w:rsidR="00EC2966" w:rsidRPr="008006EB" w:rsidRDefault="00615E67" w:rsidP="009E4930">
            <w:pPr>
              <w:pStyle w:val="TableText"/>
              <w:tabs>
                <w:tab w:val="decimal" w:pos="1553"/>
              </w:tabs>
              <w:jc w:val="left"/>
            </w:pPr>
            <w:r>
              <w:t>0.200504</w:t>
            </w:r>
          </w:p>
        </w:tc>
      </w:tr>
      <w:tr w:rsidR="00EC2966" w:rsidRPr="008006EB" w:rsidTr="009E4930">
        <w:trPr>
          <w:jc w:val="center"/>
        </w:trPr>
        <w:tc>
          <w:tcPr>
            <w:tcW w:w="1200" w:type="dxa"/>
            <w:tcBorders>
              <w:left w:val="single" w:sz="4" w:space="0" w:color="auto"/>
            </w:tcBorders>
          </w:tcPr>
          <w:p w:rsidR="00EC2966" w:rsidRPr="008006EB" w:rsidRDefault="00EC2966" w:rsidP="00156C6B">
            <w:pPr>
              <w:pStyle w:val="TableText"/>
              <w:jc w:val="center"/>
            </w:pPr>
            <w:r w:rsidRPr="008006EB">
              <w:t>100</w:t>
            </w:r>
          </w:p>
        </w:tc>
        <w:tc>
          <w:tcPr>
            <w:tcW w:w="3800" w:type="dxa"/>
          </w:tcPr>
          <w:p w:rsidR="00EC2966" w:rsidRPr="008006EB" w:rsidRDefault="00615E67" w:rsidP="009E4930">
            <w:pPr>
              <w:pStyle w:val="TableText"/>
              <w:tabs>
                <w:tab w:val="decimal" w:pos="1453"/>
              </w:tabs>
              <w:jc w:val="left"/>
            </w:pPr>
            <w:r>
              <w:t>0.361868</w:t>
            </w:r>
          </w:p>
        </w:tc>
        <w:tc>
          <w:tcPr>
            <w:tcW w:w="3949" w:type="dxa"/>
            <w:tcBorders>
              <w:right w:val="single" w:sz="4" w:space="0" w:color="auto"/>
            </w:tcBorders>
          </w:tcPr>
          <w:p w:rsidR="00EC2966" w:rsidRPr="008006EB" w:rsidRDefault="00615E67" w:rsidP="009E4930">
            <w:pPr>
              <w:pStyle w:val="TableText"/>
              <w:tabs>
                <w:tab w:val="decimal" w:pos="1553"/>
              </w:tabs>
              <w:jc w:val="left"/>
            </w:pPr>
            <w:r>
              <w:t>0.307784</w:t>
            </w:r>
          </w:p>
        </w:tc>
      </w:tr>
      <w:tr w:rsidR="00EC2966" w:rsidRPr="008006EB" w:rsidTr="009E4930">
        <w:trPr>
          <w:jc w:val="center"/>
        </w:trPr>
        <w:tc>
          <w:tcPr>
            <w:tcW w:w="1200" w:type="dxa"/>
            <w:tcBorders>
              <w:left w:val="single" w:sz="4" w:space="0" w:color="auto"/>
              <w:bottom w:val="single" w:sz="4" w:space="0" w:color="auto"/>
            </w:tcBorders>
          </w:tcPr>
          <w:p w:rsidR="00EC2966" w:rsidRPr="008006EB" w:rsidRDefault="00EC2966" w:rsidP="00156C6B">
            <w:pPr>
              <w:pStyle w:val="TableText"/>
              <w:jc w:val="center"/>
            </w:pPr>
            <w:r w:rsidRPr="008006EB">
              <w:t>105</w:t>
            </w:r>
          </w:p>
        </w:tc>
        <w:tc>
          <w:tcPr>
            <w:tcW w:w="3800" w:type="dxa"/>
            <w:tcBorders>
              <w:bottom w:val="single" w:sz="4" w:space="0" w:color="auto"/>
            </w:tcBorders>
          </w:tcPr>
          <w:p w:rsidR="00EC2966" w:rsidRPr="008006EB" w:rsidRDefault="00615E67" w:rsidP="009E4930">
            <w:pPr>
              <w:pStyle w:val="TableText"/>
              <w:tabs>
                <w:tab w:val="decimal" w:pos="1453"/>
              </w:tabs>
              <w:jc w:val="left"/>
            </w:pPr>
            <w:r>
              <w:t>0.458729</w:t>
            </w:r>
          </w:p>
        </w:tc>
        <w:tc>
          <w:tcPr>
            <w:tcW w:w="3949" w:type="dxa"/>
            <w:tcBorders>
              <w:bottom w:val="single" w:sz="4" w:space="0" w:color="auto"/>
              <w:right w:val="single" w:sz="4" w:space="0" w:color="auto"/>
            </w:tcBorders>
          </w:tcPr>
          <w:p w:rsidR="00EC2966" w:rsidRPr="008006EB" w:rsidRDefault="00615E67" w:rsidP="009E4930">
            <w:pPr>
              <w:pStyle w:val="TableText"/>
              <w:tabs>
                <w:tab w:val="decimal" w:pos="1553"/>
              </w:tabs>
              <w:jc w:val="left"/>
            </w:pPr>
            <w:r>
              <w:t>0.417568</w:t>
            </w:r>
          </w:p>
        </w:tc>
      </w:tr>
    </w:tbl>
    <w:p w:rsidR="00156C6B" w:rsidRDefault="008006EB" w:rsidP="00B50151">
      <w:pPr>
        <w:pStyle w:val="text"/>
        <w:spacing w:after="240"/>
      </w:pPr>
      <w:r w:rsidRPr="008006EB">
        <w:t xml:space="preserve">Life expectancy implied by the tables for a person </w:t>
      </w:r>
      <w:r w:rsidR="00156C6B">
        <w:t xml:space="preserve">currently </w:t>
      </w:r>
      <w:r w:rsidRPr="008006EB">
        <w:t>age</w:t>
      </w:r>
      <w:r w:rsidR="00156C6B">
        <w:t>d</w:t>
      </w:r>
      <w:r w:rsidRPr="008006EB">
        <w:t xml:space="preserve"> 65 is </w:t>
      </w:r>
      <w:r w:rsidR="00C47EAD">
        <w:t>23.8</w:t>
      </w:r>
      <w:r w:rsidRPr="008006EB">
        <w:t xml:space="preserve"> years for a male and </w:t>
      </w:r>
      <w:r w:rsidR="00C47EAD">
        <w:t xml:space="preserve">24.9 </w:t>
      </w:r>
      <w:r w:rsidRPr="008006EB">
        <w:t>years for a female.</w:t>
      </w:r>
      <w:r w:rsidR="00156C6B">
        <w:t xml:space="preserve">  Life expectancy implied by the tables for a person currently aged 45 at age 65 is </w:t>
      </w:r>
      <w:r w:rsidR="00C47EAD">
        <w:t>25.8</w:t>
      </w:r>
      <w:r w:rsidR="00156C6B">
        <w:t xml:space="preserve"> years for a male and </w:t>
      </w:r>
      <w:r w:rsidR="00C47EAD">
        <w:t>27.1</w:t>
      </w:r>
      <w:r w:rsidR="00156C6B">
        <w:t xml:space="preserve"> years for a female.</w:t>
      </w:r>
    </w:p>
    <w:p w:rsidR="009C3499" w:rsidRDefault="009C3499" w:rsidP="00B50151">
      <w:pPr>
        <w:pStyle w:val="text"/>
        <w:spacing w:after="240"/>
      </w:pPr>
    </w:p>
    <w:p w:rsidR="002A5B17" w:rsidRPr="002A5B17" w:rsidRDefault="002A5B17" w:rsidP="00B50151">
      <w:pPr>
        <w:pStyle w:val="text"/>
        <w:spacing w:after="240"/>
        <w:rPr>
          <w:b/>
        </w:rPr>
      </w:pPr>
      <w:r w:rsidRPr="002A5B17">
        <w:rPr>
          <w:b/>
        </w:rPr>
        <w:lastRenderedPageBreak/>
        <w:t xml:space="preserve">Illustrative </w:t>
      </w:r>
      <w:r w:rsidR="003D2E3C" w:rsidRPr="002A5B17">
        <w:rPr>
          <w:b/>
        </w:rPr>
        <w:t>promotional salary scale</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500"/>
        <w:gridCol w:w="2794"/>
      </w:tblGrid>
      <w:tr w:rsidR="009C3499" w:rsidRPr="008006EB" w:rsidTr="00692EFF">
        <w:trPr>
          <w:jc w:val="center"/>
        </w:trPr>
        <w:tc>
          <w:tcPr>
            <w:tcW w:w="2500" w:type="dxa"/>
            <w:tcBorders>
              <w:top w:val="single" w:sz="4" w:space="0" w:color="auto"/>
              <w:left w:val="single" w:sz="4" w:space="0" w:color="auto"/>
            </w:tcBorders>
          </w:tcPr>
          <w:p w:rsidR="009C3499" w:rsidRPr="008006EB" w:rsidRDefault="003D2E3C" w:rsidP="00692EFF">
            <w:pPr>
              <w:pStyle w:val="TableHeading"/>
            </w:pPr>
            <w:r>
              <w:t>A</w:t>
            </w:r>
            <w:r w:rsidR="009C3499" w:rsidRPr="008006EB">
              <w:t>ge</w:t>
            </w:r>
          </w:p>
          <w:p w:rsidR="009C3499" w:rsidRPr="008006EB" w:rsidRDefault="002A5B17" w:rsidP="00692EFF">
            <w:pPr>
              <w:pStyle w:val="TableHeading"/>
            </w:pPr>
            <w:r w:rsidRPr="008006EB">
              <w:t>x</w:t>
            </w:r>
          </w:p>
        </w:tc>
        <w:tc>
          <w:tcPr>
            <w:tcW w:w="2794" w:type="dxa"/>
            <w:tcBorders>
              <w:top w:val="single" w:sz="4" w:space="0" w:color="auto"/>
              <w:right w:val="single" w:sz="4" w:space="0" w:color="auto"/>
            </w:tcBorders>
          </w:tcPr>
          <w:p w:rsidR="009C3499" w:rsidRPr="008006EB" w:rsidRDefault="009C3499" w:rsidP="00692EFF">
            <w:pPr>
              <w:pStyle w:val="TableHeading"/>
            </w:pPr>
            <w:r>
              <w:t>Promotional salary scale</w:t>
            </w:r>
          </w:p>
        </w:tc>
      </w:tr>
      <w:tr w:rsidR="009C3499" w:rsidRPr="008006EB" w:rsidTr="00692EFF">
        <w:trPr>
          <w:jc w:val="center"/>
        </w:trPr>
        <w:tc>
          <w:tcPr>
            <w:tcW w:w="2500" w:type="dxa"/>
            <w:tcBorders>
              <w:left w:val="single" w:sz="4" w:space="0" w:color="auto"/>
            </w:tcBorders>
          </w:tcPr>
          <w:p w:rsidR="009C3499" w:rsidRPr="008006EB" w:rsidRDefault="009C3499" w:rsidP="00692EFF">
            <w:pPr>
              <w:pStyle w:val="TableText"/>
              <w:jc w:val="center"/>
            </w:pPr>
            <w:r w:rsidRPr="008006EB">
              <w:t>20</w:t>
            </w:r>
          </w:p>
        </w:tc>
        <w:tc>
          <w:tcPr>
            <w:tcW w:w="2794" w:type="dxa"/>
            <w:tcBorders>
              <w:right w:val="single" w:sz="4" w:space="0" w:color="auto"/>
            </w:tcBorders>
          </w:tcPr>
          <w:p w:rsidR="009C3499" w:rsidRPr="008006EB" w:rsidRDefault="009C3499" w:rsidP="009C3499">
            <w:pPr>
              <w:pStyle w:val="TableText"/>
              <w:tabs>
                <w:tab w:val="right" w:pos="1426"/>
              </w:tabs>
              <w:jc w:val="left"/>
            </w:pPr>
            <w:r>
              <w:tab/>
              <w:t>44</w:t>
            </w:r>
          </w:p>
        </w:tc>
      </w:tr>
      <w:tr w:rsidR="009C3499" w:rsidRPr="008006EB" w:rsidTr="00692EFF">
        <w:trPr>
          <w:jc w:val="center"/>
        </w:trPr>
        <w:tc>
          <w:tcPr>
            <w:tcW w:w="2500" w:type="dxa"/>
            <w:tcBorders>
              <w:left w:val="single" w:sz="4" w:space="0" w:color="auto"/>
            </w:tcBorders>
          </w:tcPr>
          <w:p w:rsidR="009C3499" w:rsidRPr="008006EB" w:rsidRDefault="009C3499" w:rsidP="00692EFF">
            <w:pPr>
              <w:pStyle w:val="TableText"/>
              <w:jc w:val="center"/>
            </w:pPr>
            <w:r w:rsidRPr="008006EB">
              <w:t>30</w:t>
            </w:r>
          </w:p>
        </w:tc>
        <w:tc>
          <w:tcPr>
            <w:tcW w:w="2794" w:type="dxa"/>
            <w:tcBorders>
              <w:right w:val="single" w:sz="4" w:space="0" w:color="auto"/>
            </w:tcBorders>
          </w:tcPr>
          <w:p w:rsidR="009C3499" w:rsidRPr="008006EB" w:rsidRDefault="009C3499" w:rsidP="009C3499">
            <w:pPr>
              <w:pStyle w:val="TableText"/>
              <w:tabs>
                <w:tab w:val="right" w:pos="1426"/>
              </w:tabs>
              <w:jc w:val="left"/>
            </w:pPr>
            <w:r>
              <w:tab/>
              <w:t>64</w:t>
            </w:r>
          </w:p>
        </w:tc>
      </w:tr>
      <w:tr w:rsidR="009C3499" w:rsidRPr="008006EB" w:rsidTr="00692EFF">
        <w:trPr>
          <w:jc w:val="center"/>
        </w:trPr>
        <w:tc>
          <w:tcPr>
            <w:tcW w:w="2500" w:type="dxa"/>
            <w:tcBorders>
              <w:left w:val="single" w:sz="4" w:space="0" w:color="auto"/>
            </w:tcBorders>
          </w:tcPr>
          <w:p w:rsidR="009C3499" w:rsidRPr="008006EB" w:rsidRDefault="009C3499" w:rsidP="00692EFF">
            <w:pPr>
              <w:pStyle w:val="TableText"/>
              <w:jc w:val="center"/>
            </w:pPr>
            <w:r w:rsidRPr="008006EB">
              <w:t>40</w:t>
            </w:r>
          </w:p>
        </w:tc>
        <w:tc>
          <w:tcPr>
            <w:tcW w:w="2794" w:type="dxa"/>
            <w:tcBorders>
              <w:right w:val="single" w:sz="4" w:space="0" w:color="auto"/>
            </w:tcBorders>
          </w:tcPr>
          <w:p w:rsidR="009C3499" w:rsidRPr="00156C6B" w:rsidRDefault="009C3499" w:rsidP="009C3499">
            <w:pPr>
              <w:pStyle w:val="TableText"/>
              <w:tabs>
                <w:tab w:val="right" w:pos="1426"/>
              </w:tabs>
              <w:jc w:val="left"/>
            </w:pPr>
            <w:r>
              <w:tab/>
              <w:t>79</w:t>
            </w:r>
          </w:p>
        </w:tc>
      </w:tr>
      <w:tr w:rsidR="009C3499" w:rsidRPr="008006EB" w:rsidTr="00692EFF">
        <w:trPr>
          <w:jc w:val="center"/>
        </w:trPr>
        <w:tc>
          <w:tcPr>
            <w:tcW w:w="2500" w:type="dxa"/>
            <w:tcBorders>
              <w:left w:val="single" w:sz="4" w:space="0" w:color="auto"/>
            </w:tcBorders>
          </w:tcPr>
          <w:p w:rsidR="009C3499" w:rsidRPr="008006EB" w:rsidRDefault="009C3499" w:rsidP="00692EFF">
            <w:pPr>
              <w:pStyle w:val="TableText"/>
              <w:jc w:val="center"/>
            </w:pPr>
            <w:r w:rsidRPr="008006EB">
              <w:t>50</w:t>
            </w:r>
          </w:p>
        </w:tc>
        <w:tc>
          <w:tcPr>
            <w:tcW w:w="2794" w:type="dxa"/>
            <w:tcBorders>
              <w:right w:val="single" w:sz="4" w:space="0" w:color="auto"/>
            </w:tcBorders>
          </w:tcPr>
          <w:p w:rsidR="009C3499" w:rsidRPr="008006EB" w:rsidRDefault="009C3499" w:rsidP="009C3499">
            <w:pPr>
              <w:pStyle w:val="TableText"/>
              <w:tabs>
                <w:tab w:val="right" w:pos="1426"/>
              </w:tabs>
              <w:jc w:val="left"/>
            </w:pPr>
            <w:r>
              <w:tab/>
              <w:t>93</w:t>
            </w:r>
          </w:p>
        </w:tc>
      </w:tr>
      <w:tr w:rsidR="009C3499" w:rsidRPr="008006EB" w:rsidTr="00692EFF">
        <w:trPr>
          <w:jc w:val="center"/>
        </w:trPr>
        <w:tc>
          <w:tcPr>
            <w:tcW w:w="2500" w:type="dxa"/>
            <w:tcBorders>
              <w:left w:val="single" w:sz="4" w:space="0" w:color="auto"/>
              <w:bottom w:val="single" w:sz="4" w:space="0" w:color="auto"/>
            </w:tcBorders>
          </w:tcPr>
          <w:p w:rsidR="009C3499" w:rsidRPr="008006EB" w:rsidRDefault="009C3499" w:rsidP="00692EFF">
            <w:pPr>
              <w:pStyle w:val="TableText"/>
              <w:jc w:val="center"/>
            </w:pPr>
            <w:r w:rsidRPr="008006EB">
              <w:t>60</w:t>
            </w:r>
          </w:p>
        </w:tc>
        <w:tc>
          <w:tcPr>
            <w:tcW w:w="2794" w:type="dxa"/>
            <w:tcBorders>
              <w:bottom w:val="single" w:sz="4" w:space="0" w:color="auto"/>
              <w:right w:val="single" w:sz="4" w:space="0" w:color="auto"/>
            </w:tcBorders>
          </w:tcPr>
          <w:p w:rsidR="009C3499" w:rsidRPr="008006EB" w:rsidRDefault="009C3499" w:rsidP="009C3499">
            <w:pPr>
              <w:pStyle w:val="TableText"/>
              <w:tabs>
                <w:tab w:val="right" w:pos="1426"/>
              </w:tabs>
              <w:jc w:val="left"/>
            </w:pPr>
            <w:r>
              <w:tab/>
              <w:t>103</w:t>
            </w:r>
          </w:p>
        </w:tc>
      </w:tr>
    </w:tbl>
    <w:p w:rsidR="009C3499" w:rsidRDefault="002A5B17" w:rsidP="008C1BB2">
      <w:pPr>
        <w:pStyle w:val="text"/>
        <w:spacing w:after="240"/>
      </w:pPr>
      <w:r w:rsidRPr="002A5B17">
        <w:rPr>
          <w:b/>
        </w:rPr>
        <w:t xml:space="preserve">Illustrative </w:t>
      </w:r>
      <w:r w:rsidR="003D2E3C">
        <w:rPr>
          <w:b/>
        </w:rPr>
        <w:t>withdrawal rates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500"/>
        <w:gridCol w:w="2794"/>
      </w:tblGrid>
      <w:tr w:rsidR="00156C6B" w:rsidRPr="008006EB" w:rsidTr="00B50151">
        <w:trPr>
          <w:jc w:val="center"/>
        </w:trPr>
        <w:tc>
          <w:tcPr>
            <w:tcW w:w="5294" w:type="dxa"/>
            <w:gridSpan w:val="2"/>
            <w:tcBorders>
              <w:top w:val="single" w:sz="4" w:space="0" w:color="auto"/>
              <w:left w:val="single" w:sz="4" w:space="0" w:color="auto"/>
              <w:right w:val="single" w:sz="4" w:space="0" w:color="auto"/>
            </w:tcBorders>
          </w:tcPr>
          <w:p w:rsidR="00156C6B" w:rsidRPr="008006EB" w:rsidRDefault="00B50151" w:rsidP="00FC4A88">
            <w:pPr>
              <w:pStyle w:val="TableHeading"/>
            </w:pPr>
            <w:r>
              <w:t>Withdrawal from service</w:t>
            </w:r>
          </w:p>
        </w:tc>
      </w:tr>
      <w:tr w:rsidR="00B50151" w:rsidRPr="008006EB" w:rsidTr="00B50151">
        <w:trPr>
          <w:jc w:val="center"/>
        </w:trPr>
        <w:tc>
          <w:tcPr>
            <w:tcW w:w="2500" w:type="dxa"/>
            <w:tcBorders>
              <w:top w:val="single" w:sz="4" w:space="0" w:color="auto"/>
              <w:left w:val="single" w:sz="4" w:space="0" w:color="auto"/>
            </w:tcBorders>
          </w:tcPr>
          <w:p w:rsidR="00B50151" w:rsidRPr="008006EB" w:rsidRDefault="003D2E3C" w:rsidP="00FC4A88">
            <w:pPr>
              <w:pStyle w:val="TableHeading"/>
            </w:pPr>
            <w:r>
              <w:t>A</w:t>
            </w:r>
            <w:r w:rsidR="00B50151" w:rsidRPr="008006EB">
              <w:t>ge</w:t>
            </w:r>
          </w:p>
          <w:p w:rsidR="00B50151" w:rsidRPr="008006EB" w:rsidRDefault="002A5B17" w:rsidP="00FC4A88">
            <w:pPr>
              <w:pStyle w:val="TableHeading"/>
            </w:pPr>
            <w:r w:rsidRPr="008006EB">
              <w:t>x</w:t>
            </w:r>
          </w:p>
        </w:tc>
        <w:tc>
          <w:tcPr>
            <w:tcW w:w="2794" w:type="dxa"/>
            <w:tcBorders>
              <w:top w:val="single" w:sz="4" w:space="0" w:color="auto"/>
              <w:right w:val="single" w:sz="4" w:space="0" w:color="auto"/>
            </w:tcBorders>
          </w:tcPr>
          <w:p w:rsidR="00B50151" w:rsidRPr="008006EB" w:rsidRDefault="00B50151" w:rsidP="00FC4A88">
            <w:pPr>
              <w:pStyle w:val="TableHeading"/>
            </w:pPr>
            <w:r>
              <w:t>P</w:t>
            </w:r>
            <w:r w:rsidR="00EC2966">
              <w:t xml:space="preserve">ercentage </w:t>
            </w:r>
            <w:r>
              <w:t>leaving the Scheme within 1 year</w:t>
            </w:r>
          </w:p>
        </w:tc>
      </w:tr>
      <w:tr w:rsidR="00B50151" w:rsidRPr="008006EB" w:rsidTr="00B50151">
        <w:trPr>
          <w:jc w:val="center"/>
        </w:trPr>
        <w:tc>
          <w:tcPr>
            <w:tcW w:w="2500" w:type="dxa"/>
            <w:tcBorders>
              <w:left w:val="single" w:sz="4" w:space="0" w:color="auto"/>
            </w:tcBorders>
          </w:tcPr>
          <w:p w:rsidR="00B50151" w:rsidRPr="008006EB" w:rsidRDefault="00B50151" w:rsidP="00FC4A88">
            <w:pPr>
              <w:pStyle w:val="TableText"/>
              <w:jc w:val="center"/>
            </w:pPr>
            <w:r w:rsidRPr="008006EB">
              <w:t>20</w:t>
            </w:r>
          </w:p>
        </w:tc>
        <w:tc>
          <w:tcPr>
            <w:tcW w:w="2794" w:type="dxa"/>
            <w:tcBorders>
              <w:right w:val="single" w:sz="4" w:space="0" w:color="auto"/>
            </w:tcBorders>
          </w:tcPr>
          <w:p w:rsidR="00B50151" w:rsidRPr="008006EB" w:rsidRDefault="00EC2966" w:rsidP="00FC4A88">
            <w:pPr>
              <w:pStyle w:val="TableText"/>
              <w:jc w:val="center"/>
            </w:pPr>
            <w:r>
              <w:t>11</w:t>
            </w:r>
          </w:p>
        </w:tc>
      </w:tr>
      <w:tr w:rsidR="00B50151" w:rsidRPr="008006EB" w:rsidTr="00B50151">
        <w:trPr>
          <w:jc w:val="center"/>
        </w:trPr>
        <w:tc>
          <w:tcPr>
            <w:tcW w:w="2500" w:type="dxa"/>
            <w:tcBorders>
              <w:left w:val="single" w:sz="4" w:space="0" w:color="auto"/>
            </w:tcBorders>
          </w:tcPr>
          <w:p w:rsidR="00B50151" w:rsidRPr="008006EB" w:rsidRDefault="00B50151" w:rsidP="00FC4A88">
            <w:pPr>
              <w:pStyle w:val="TableText"/>
              <w:jc w:val="center"/>
            </w:pPr>
            <w:r w:rsidRPr="008006EB">
              <w:t>30</w:t>
            </w:r>
          </w:p>
        </w:tc>
        <w:tc>
          <w:tcPr>
            <w:tcW w:w="2794" w:type="dxa"/>
            <w:tcBorders>
              <w:right w:val="single" w:sz="4" w:space="0" w:color="auto"/>
            </w:tcBorders>
          </w:tcPr>
          <w:p w:rsidR="00B50151" w:rsidRPr="008006EB" w:rsidRDefault="00EC2966" w:rsidP="00FC4A88">
            <w:pPr>
              <w:pStyle w:val="TableText"/>
              <w:jc w:val="center"/>
            </w:pPr>
            <w:r>
              <w:t>6</w:t>
            </w:r>
          </w:p>
        </w:tc>
      </w:tr>
      <w:tr w:rsidR="00B50151" w:rsidRPr="008006EB" w:rsidTr="00B50151">
        <w:trPr>
          <w:jc w:val="center"/>
        </w:trPr>
        <w:tc>
          <w:tcPr>
            <w:tcW w:w="2500" w:type="dxa"/>
            <w:tcBorders>
              <w:left w:val="single" w:sz="4" w:space="0" w:color="auto"/>
            </w:tcBorders>
          </w:tcPr>
          <w:p w:rsidR="00B50151" w:rsidRPr="008006EB" w:rsidRDefault="00B50151" w:rsidP="00FC4A88">
            <w:pPr>
              <w:pStyle w:val="TableText"/>
              <w:jc w:val="center"/>
            </w:pPr>
            <w:r w:rsidRPr="008006EB">
              <w:t>40</w:t>
            </w:r>
          </w:p>
        </w:tc>
        <w:tc>
          <w:tcPr>
            <w:tcW w:w="2794" w:type="dxa"/>
            <w:tcBorders>
              <w:right w:val="single" w:sz="4" w:space="0" w:color="auto"/>
            </w:tcBorders>
          </w:tcPr>
          <w:p w:rsidR="00B50151" w:rsidRPr="00156C6B" w:rsidRDefault="00EC2966" w:rsidP="00FC4A88">
            <w:pPr>
              <w:pStyle w:val="TableText"/>
              <w:jc w:val="center"/>
            </w:pPr>
            <w:r>
              <w:t>4</w:t>
            </w:r>
          </w:p>
        </w:tc>
      </w:tr>
      <w:tr w:rsidR="00B50151" w:rsidRPr="008006EB" w:rsidTr="00B50151">
        <w:trPr>
          <w:jc w:val="center"/>
        </w:trPr>
        <w:tc>
          <w:tcPr>
            <w:tcW w:w="2500" w:type="dxa"/>
            <w:tcBorders>
              <w:left w:val="single" w:sz="4" w:space="0" w:color="auto"/>
            </w:tcBorders>
          </w:tcPr>
          <w:p w:rsidR="00B50151" w:rsidRPr="008006EB" w:rsidRDefault="00B50151" w:rsidP="00FC4A88">
            <w:pPr>
              <w:pStyle w:val="TableText"/>
              <w:jc w:val="center"/>
            </w:pPr>
            <w:r w:rsidRPr="008006EB">
              <w:t>50</w:t>
            </w:r>
          </w:p>
        </w:tc>
        <w:tc>
          <w:tcPr>
            <w:tcW w:w="2794" w:type="dxa"/>
            <w:tcBorders>
              <w:right w:val="single" w:sz="4" w:space="0" w:color="auto"/>
            </w:tcBorders>
          </w:tcPr>
          <w:p w:rsidR="00B50151" w:rsidRPr="008006EB" w:rsidRDefault="00EC2966" w:rsidP="00FC4A88">
            <w:pPr>
              <w:pStyle w:val="TableText"/>
              <w:jc w:val="center"/>
            </w:pPr>
            <w:r>
              <w:t>0</w:t>
            </w:r>
          </w:p>
        </w:tc>
      </w:tr>
      <w:tr w:rsidR="00B50151" w:rsidRPr="008006EB" w:rsidTr="00EC2966">
        <w:trPr>
          <w:jc w:val="center"/>
        </w:trPr>
        <w:tc>
          <w:tcPr>
            <w:tcW w:w="2500" w:type="dxa"/>
            <w:tcBorders>
              <w:left w:val="single" w:sz="4" w:space="0" w:color="auto"/>
              <w:bottom w:val="single" w:sz="4" w:space="0" w:color="auto"/>
            </w:tcBorders>
          </w:tcPr>
          <w:p w:rsidR="00B50151" w:rsidRPr="008006EB" w:rsidRDefault="00B50151" w:rsidP="00FC4A88">
            <w:pPr>
              <w:pStyle w:val="TableText"/>
              <w:jc w:val="center"/>
            </w:pPr>
            <w:r w:rsidRPr="008006EB">
              <w:t>60</w:t>
            </w:r>
          </w:p>
        </w:tc>
        <w:tc>
          <w:tcPr>
            <w:tcW w:w="2794" w:type="dxa"/>
            <w:tcBorders>
              <w:bottom w:val="single" w:sz="4" w:space="0" w:color="auto"/>
              <w:right w:val="single" w:sz="4" w:space="0" w:color="auto"/>
            </w:tcBorders>
          </w:tcPr>
          <w:p w:rsidR="00B50151" w:rsidRPr="008006EB" w:rsidRDefault="00EC2966" w:rsidP="00FC4A88">
            <w:pPr>
              <w:pStyle w:val="TableText"/>
              <w:jc w:val="center"/>
            </w:pPr>
            <w:r>
              <w:t>0</w:t>
            </w:r>
          </w:p>
        </w:tc>
      </w:tr>
    </w:tbl>
    <w:p w:rsidR="008006EB" w:rsidRPr="008006EB" w:rsidRDefault="008006EB" w:rsidP="008006EB">
      <w:pPr>
        <w:pStyle w:val="text"/>
        <w:rPr>
          <w:b/>
        </w:rPr>
      </w:pPr>
      <w:r w:rsidRPr="008006EB">
        <w:rPr>
          <w:b/>
        </w:rPr>
        <w:t>Age difference of dependants</w:t>
      </w:r>
    </w:p>
    <w:p w:rsidR="008006EB" w:rsidRPr="008006EB" w:rsidRDefault="008C1BB2" w:rsidP="006A2F90">
      <w:pPr>
        <w:pStyle w:val="text"/>
      </w:pPr>
      <w:r>
        <w:t>Actual age difference is used for pensioners where the data is available.  Where</w:t>
      </w:r>
      <w:r w:rsidR="003D2E3C">
        <w:t xml:space="preserve"> the data is</w:t>
      </w:r>
      <w:r>
        <w:t xml:space="preserve"> unknown, and for all active and deferred members, male members are assumed to be two years older than their spouses or civil partners and females two years younger than their spouses or civil partners.</w:t>
      </w:r>
    </w:p>
    <w:p w:rsidR="008006EB" w:rsidRPr="008006EB" w:rsidRDefault="008006EB" w:rsidP="008006EB">
      <w:pPr>
        <w:pStyle w:val="text"/>
        <w:rPr>
          <w:b/>
        </w:rPr>
      </w:pPr>
      <w:r w:rsidRPr="008006EB">
        <w:rPr>
          <w:b/>
        </w:rPr>
        <w:t>Percentage of members with spouse/dependant benefits</w:t>
      </w:r>
    </w:p>
    <w:p w:rsidR="008006EB" w:rsidRPr="008006EB" w:rsidRDefault="008006EB" w:rsidP="00C2309A">
      <w:pPr>
        <w:pStyle w:val="text"/>
        <w:ind w:left="2400" w:hanging="2400"/>
      </w:pPr>
      <w:r w:rsidRPr="008006EB">
        <w:t>Actives</w:t>
      </w:r>
      <w:r w:rsidR="009E4930">
        <w:t xml:space="preserve"> and </w:t>
      </w:r>
      <w:r w:rsidR="00C2309A">
        <w:t>D</w:t>
      </w:r>
      <w:r w:rsidR="009E4930">
        <w:t>eferreds:</w:t>
      </w:r>
      <w:r w:rsidRPr="008006EB">
        <w:tab/>
      </w:r>
      <w:r w:rsidR="00C47EAD">
        <w:t>85</w:t>
      </w:r>
      <w:r w:rsidRPr="008006EB">
        <w:t>% of</w:t>
      </w:r>
      <w:r w:rsidR="009E4930">
        <w:t xml:space="preserve"> male</w:t>
      </w:r>
      <w:r w:rsidRPr="008006EB">
        <w:t xml:space="preserve"> members</w:t>
      </w:r>
      <w:r w:rsidR="009E4930">
        <w:t xml:space="preserve"> and 75% of female members</w:t>
      </w:r>
      <w:r w:rsidRPr="008006EB">
        <w:t xml:space="preserve"> are assumed to have spouse/dependants benefits at retirement or earlier death</w:t>
      </w:r>
    </w:p>
    <w:p w:rsidR="008006EB" w:rsidRPr="008006EB" w:rsidRDefault="008006EB" w:rsidP="00C2309A">
      <w:pPr>
        <w:pStyle w:val="text"/>
        <w:ind w:left="2400" w:hanging="2400"/>
      </w:pPr>
      <w:r w:rsidRPr="008006EB">
        <w:t>Pensioners:</w:t>
      </w:r>
      <w:r w:rsidRPr="008006EB">
        <w:tab/>
        <w:t>Based on actual marital/dependency status</w:t>
      </w:r>
    </w:p>
    <w:p w:rsidR="008006EB" w:rsidRPr="008006EB" w:rsidRDefault="008006EB" w:rsidP="008006EB">
      <w:pPr>
        <w:pStyle w:val="text"/>
      </w:pPr>
      <w:r w:rsidRPr="008006EB">
        <w:rPr>
          <w:b/>
        </w:rPr>
        <w:t>Commutation</w:t>
      </w:r>
    </w:p>
    <w:p w:rsidR="00FB602F" w:rsidRDefault="00C47EAD" w:rsidP="008006EB">
      <w:pPr>
        <w:pStyle w:val="text"/>
      </w:pPr>
      <w:r>
        <w:t>Active and deferred members commute 15% of their main Scheme benefits on retirement for a lump sum.</w:t>
      </w:r>
    </w:p>
    <w:p w:rsidR="003F0EDC" w:rsidRDefault="003F0EDC" w:rsidP="008006EB">
      <w:pPr>
        <w:pStyle w:val="text"/>
      </w:pPr>
    </w:p>
    <w:p w:rsidR="003F0EDC" w:rsidRDefault="003F0EDC" w:rsidP="008006EB">
      <w:pPr>
        <w:pStyle w:val="text"/>
      </w:pPr>
    </w:p>
    <w:p w:rsidR="003F0EDC" w:rsidRDefault="003F0EDC" w:rsidP="008006EB">
      <w:pPr>
        <w:pStyle w:val="text"/>
      </w:pPr>
    </w:p>
    <w:p w:rsidR="003F0EDC" w:rsidRDefault="003F0EDC" w:rsidP="008006EB">
      <w:pPr>
        <w:pStyle w:val="text"/>
      </w:pPr>
    </w:p>
    <w:p w:rsidR="003F0EDC" w:rsidRDefault="003F0EDC" w:rsidP="008006EB">
      <w:pPr>
        <w:pStyle w:val="text"/>
      </w:pPr>
    </w:p>
    <w:tbl>
      <w:tblPr>
        <w:tblStyle w:val="TableGrid"/>
        <w:tblW w:w="0" w:type="auto"/>
        <w:jc w:val="right"/>
        <w:tblLook w:val="01E0"/>
      </w:tblPr>
      <w:tblGrid>
        <w:gridCol w:w="1775"/>
      </w:tblGrid>
      <w:tr w:rsidR="003F0EDC" w:rsidTr="00523AC5">
        <w:trPr>
          <w:jc w:val="right"/>
        </w:trPr>
        <w:tc>
          <w:tcPr>
            <w:tcW w:w="1708" w:type="dxa"/>
          </w:tcPr>
          <w:p w:rsidR="003F0EDC" w:rsidRPr="009453D3" w:rsidRDefault="003F0EDC" w:rsidP="00523AC5">
            <w:pPr>
              <w:pStyle w:val="text"/>
              <w:rPr>
                <w:b/>
                <w:sz w:val="46"/>
              </w:rPr>
            </w:pPr>
            <w:r w:rsidRPr="009453D3">
              <w:rPr>
                <w:b/>
                <w:sz w:val="46"/>
              </w:rPr>
              <w:lastRenderedPageBreak/>
              <w:t>DRAFT</w:t>
            </w:r>
          </w:p>
        </w:tc>
      </w:tr>
    </w:tbl>
    <w:p w:rsidR="003F0EDC" w:rsidRDefault="003F0EDC" w:rsidP="003F0EDC">
      <w:pPr>
        <w:pStyle w:val="text"/>
        <w:jc w:val="center"/>
        <w:rPr>
          <w:b/>
          <w:u w:val="single"/>
        </w:rPr>
      </w:pPr>
    </w:p>
    <w:p w:rsidR="003F0EDC" w:rsidRPr="00771D2A" w:rsidRDefault="003F0EDC" w:rsidP="003F0EDC">
      <w:pPr>
        <w:pStyle w:val="text"/>
        <w:jc w:val="center"/>
        <w:rPr>
          <w:b/>
          <w:u w:val="single"/>
        </w:rPr>
      </w:pPr>
      <w:r w:rsidRPr="00771D2A">
        <w:rPr>
          <w:b/>
          <w:u w:val="single"/>
        </w:rPr>
        <w:t>PENSION AND ASSURANCE SCHEME FOR LAY EMPLOYEES OF THE METHODIST CHURCH</w:t>
      </w:r>
    </w:p>
    <w:p w:rsidR="003F0EDC" w:rsidRPr="00771D2A" w:rsidRDefault="003F0EDC" w:rsidP="003F0EDC">
      <w:pPr>
        <w:pStyle w:val="text"/>
        <w:jc w:val="center"/>
        <w:rPr>
          <w:b/>
          <w:u w:val="single"/>
        </w:rPr>
      </w:pPr>
      <w:r w:rsidRPr="00771D2A">
        <w:rPr>
          <w:b/>
          <w:u w:val="single"/>
        </w:rPr>
        <w:t>Recovery Plan</w:t>
      </w:r>
    </w:p>
    <w:p w:rsidR="003F0EDC" w:rsidRPr="00771D2A" w:rsidRDefault="003F0EDC" w:rsidP="003F0EDC">
      <w:pPr>
        <w:pStyle w:val="text"/>
        <w:rPr>
          <w:b/>
        </w:rPr>
      </w:pPr>
      <w:r w:rsidRPr="00771D2A">
        <w:rPr>
          <w:b/>
        </w:rPr>
        <w:t>Introduction</w:t>
      </w:r>
    </w:p>
    <w:p w:rsidR="003F0EDC" w:rsidRDefault="003F0EDC" w:rsidP="003F0EDC">
      <w:pPr>
        <w:pStyle w:val="text"/>
      </w:pPr>
      <w:r>
        <w:t>The</w:t>
      </w:r>
      <w:r w:rsidRPr="00771D2A">
        <w:t xml:space="preserve"> recovery plan </w:t>
      </w:r>
      <w:r>
        <w:t xml:space="preserve">agreed by the Trustee on 1 March 2012 has been reviewed and revised </w:t>
      </w:r>
      <w:r w:rsidRPr="00771D2A">
        <w:t>by the Trustee to satisfy the requirements of Section 226 of the Pensions Act 2004, after obtaining the advice of Diana Simon, the Scheme Actuary, and after obtaining the agreement of the Employers namely:</w:t>
      </w:r>
    </w:p>
    <w:tbl>
      <w:tblPr>
        <w:tblStyle w:val="TableGrid"/>
        <w:tblW w:w="0" w:type="auto"/>
        <w:tblInd w:w="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00"/>
        <w:gridCol w:w="600"/>
        <w:gridCol w:w="4135"/>
      </w:tblGrid>
      <w:tr w:rsidR="003F0EDC" w:rsidTr="00523AC5">
        <w:tc>
          <w:tcPr>
            <w:tcW w:w="3900" w:type="dxa"/>
          </w:tcPr>
          <w:p w:rsidR="003F0EDC" w:rsidRDefault="003F0EDC" w:rsidP="00523AC5">
            <w:pPr>
              <w:pStyle w:val="text"/>
              <w:jc w:val="left"/>
            </w:pPr>
            <w:r>
              <w:t xml:space="preserve">The </w:t>
            </w:r>
            <w:smartTag w:uri="urn:schemas-microsoft-com:office:smarttags" w:element="place">
              <w:smartTag w:uri="urn:schemas-microsoft-com:office:smarttags" w:element="PlaceName">
                <w:r>
                  <w:t>Methodist</w:t>
                </w:r>
              </w:smartTag>
              <w:r>
                <w:t xml:space="preserve"> </w:t>
              </w:r>
              <w:smartTag w:uri="urn:schemas-microsoft-com:office:smarttags" w:element="PlaceName">
                <w:r>
                  <w:t>Council</w:t>
                </w:r>
              </w:smartTag>
              <w:r>
                <w:br/>
              </w:r>
              <w:smartTag w:uri="urn:schemas-microsoft-com:office:smarttags" w:element="PlaceName">
                <w:r>
                  <w:t>Cliff</w:t>
                </w:r>
              </w:smartTag>
              <w:r>
                <w:t xml:space="preserve"> </w:t>
              </w:r>
              <w:smartTag w:uri="urn:schemas-microsoft-com:office:smarttags" w:element="PlaceName">
                <w:r>
                  <w:t>College</w:t>
                </w:r>
              </w:smartTag>
            </w:smartTag>
            <w:r>
              <w:br/>
              <w:t>Central Finance Board</w:t>
            </w:r>
            <w:r>
              <w:br/>
              <w:t>Methodist Ministers’ Housing Society</w:t>
            </w:r>
            <w:r>
              <w:br/>
              <w:t>Central Hall Westminster Limited</w:t>
            </w:r>
          </w:p>
        </w:tc>
        <w:tc>
          <w:tcPr>
            <w:tcW w:w="600" w:type="dxa"/>
          </w:tcPr>
          <w:p w:rsidR="003F0EDC" w:rsidRDefault="003F0EDC" w:rsidP="00523AC5">
            <w:pPr>
              <w:pStyle w:val="text"/>
              <w:jc w:val="left"/>
            </w:pPr>
          </w:p>
        </w:tc>
        <w:tc>
          <w:tcPr>
            <w:tcW w:w="4135" w:type="dxa"/>
          </w:tcPr>
          <w:p w:rsidR="003F0EDC" w:rsidRDefault="003F0EDC" w:rsidP="00523AC5">
            <w:pPr>
              <w:pStyle w:val="text"/>
              <w:jc w:val="left"/>
            </w:pPr>
            <w:smartTag w:uri="urn:schemas-microsoft-com:office:smarttags" w:element="PlaceName">
              <w:r>
                <w:t>Wesley</w:t>
              </w:r>
            </w:smartTag>
            <w:r>
              <w:t xml:space="preserve"> </w:t>
            </w:r>
            <w:smartTag w:uri="urn:schemas-microsoft-com:office:smarttags" w:element="PlaceName">
              <w:r>
                <w:t>College</w:t>
              </w:r>
            </w:smartTag>
            <w:r>
              <w:t xml:space="preserve">, </w:t>
            </w:r>
            <w:smartTag w:uri="urn:schemas-microsoft-com:office:smarttags" w:element="City">
              <w:r>
                <w:t>Cambridge</w:t>
              </w:r>
            </w:smartTag>
            <w:r>
              <w:br/>
              <w:t>Guy Chester Centre</w:t>
            </w:r>
            <w:r>
              <w:br/>
              <w:t xml:space="preserve">Trustees for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 xml:space="preserve"> Purposes</w:t>
            </w:r>
            <w:r>
              <w:br/>
              <w:t>Methodist Relief and Development Fund</w:t>
            </w:r>
          </w:p>
        </w:tc>
      </w:tr>
    </w:tbl>
    <w:p w:rsidR="003F0EDC" w:rsidRDefault="003F0EDC" w:rsidP="003F0EDC">
      <w:pPr>
        <w:pStyle w:val="text"/>
        <w:jc w:val="left"/>
      </w:pPr>
      <w:r>
        <w:t xml:space="preserve">It follows the </w:t>
      </w:r>
      <w:r>
        <w:rPr>
          <w:spacing w:val="-3"/>
        </w:rPr>
        <w:t>actuarial valuation</w:t>
      </w:r>
      <w:r>
        <w:t xml:space="preserve"> of the Scheme as at 1 September 2014, which revealed a funding shortfall (technical provisions minus value of assets) of £311,000.</w:t>
      </w:r>
    </w:p>
    <w:p w:rsidR="003F0EDC" w:rsidRPr="00D24284" w:rsidRDefault="003F0EDC" w:rsidP="003F0EDC">
      <w:pPr>
        <w:pStyle w:val="text"/>
        <w:rPr>
          <w:b/>
        </w:rPr>
      </w:pPr>
      <w:r w:rsidRPr="00D24284">
        <w:rPr>
          <w:b/>
        </w:rPr>
        <w:t>Steps to be taken to ensure that the Statutory Funding Objective is met</w:t>
      </w:r>
    </w:p>
    <w:p w:rsidR="003F0EDC" w:rsidRDefault="003F0EDC" w:rsidP="003F0EDC">
      <w:pPr>
        <w:pStyle w:val="text"/>
        <w:spacing w:after="240"/>
      </w:pPr>
      <w:r>
        <w:t>To eliminate this funding shortfall, the Trustee and the Employers have agreed that an additional contribution (ie a contribution over and above those needed to cover benefits being earned in the future) will be paid to the Scheme as follows:</w:t>
      </w:r>
    </w:p>
    <w:p w:rsidR="003F0EDC" w:rsidRDefault="003F0EDC" w:rsidP="003F0EDC">
      <w:pPr>
        <w:pStyle w:val="text"/>
        <w:spacing w:after="240"/>
      </w:pPr>
      <w:r>
        <w:t>A lump sum payment of £448,000 will be transferred from the Pension Reserve Fund to the Scheme in September 2015.  This represents the funding shortfall at 1 September 2014 together with interest until the date of payment of the lump sum (£324,000) and the additional expected shortfall that will arise in the 2014/15 Scheme year due to contributions being paid below the future service rate (£124,000).</w:t>
      </w:r>
    </w:p>
    <w:p w:rsidR="003F0EDC" w:rsidRPr="00406826" w:rsidRDefault="003F0EDC" w:rsidP="003F0EDC">
      <w:pPr>
        <w:pStyle w:val="text"/>
        <w:rPr>
          <w:b/>
        </w:rPr>
      </w:pPr>
      <w:r w:rsidRPr="00406826">
        <w:rPr>
          <w:b/>
        </w:rPr>
        <w:t>Period in which the Statutory Funding Objective should be met</w:t>
      </w:r>
    </w:p>
    <w:p w:rsidR="003F0EDC" w:rsidRDefault="003F0EDC" w:rsidP="003F0EDC">
      <w:pPr>
        <w:pStyle w:val="text"/>
      </w:pPr>
      <w:r>
        <w:t>Under this recovery plan, if the assumptions made are borne out in practice the total funding shortfall is expected to be eliminated in September 2015 which is 1 year 1 month after the valuation date of 1 September 2014.  The assumptions are:</w:t>
      </w:r>
    </w:p>
    <w:p w:rsidR="003F0EDC" w:rsidRDefault="003F0EDC" w:rsidP="003F0EDC">
      <w:pPr>
        <w:pStyle w:val="BulletText1"/>
        <w:tabs>
          <w:tab w:val="num" w:pos="357"/>
        </w:tabs>
        <w:ind w:left="357"/>
      </w:pPr>
      <w:r>
        <w:t xml:space="preserve">technical provisions will continue to be calculated according to the method and assumptions set out in the statement of funding principles agreed by the Trustee at their meeting on 5 March 2015, with financial conditions unchanged from those at the </w:t>
      </w:r>
      <w:r>
        <w:rPr>
          <w:spacing w:val="-3"/>
        </w:rPr>
        <w:t>valuation</w:t>
      </w:r>
      <w:r>
        <w:t xml:space="preserve"> effective date;</w:t>
      </w:r>
    </w:p>
    <w:p w:rsidR="003F0EDC" w:rsidRDefault="003F0EDC" w:rsidP="003F0EDC">
      <w:pPr>
        <w:pStyle w:val="BulletText1"/>
        <w:tabs>
          <w:tab w:val="num" w:pos="357"/>
        </w:tabs>
        <w:ind w:left="357"/>
      </w:pPr>
      <w:r>
        <w:t>Scheme experience will be in line with the assumptions underlying the technical provisions.</w:t>
      </w:r>
    </w:p>
    <w:p w:rsidR="003F0EDC" w:rsidRDefault="003F0EDC" w:rsidP="003F0EDC">
      <w:pPr>
        <w:pStyle w:val="text"/>
      </w:pPr>
      <w:r>
        <w:t>This recovery plan was agreed by the Trustee at their meeting on 5 March 2015, to be effective from 1 September 2015.</w:t>
      </w:r>
    </w:p>
    <w:p w:rsidR="003F0EDC" w:rsidRDefault="003F0EDC" w:rsidP="003F0EDC">
      <w:pPr>
        <w:pStyle w:val="text"/>
        <w:jc w:val="left"/>
      </w:pPr>
      <w:r>
        <w:lastRenderedPageBreak/>
        <w:t xml:space="preserve">Signed on behalf of the Trustee of the Pension and Assurance Scheme for Lay Employees of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p>
    <w:p w:rsidR="003F0EDC" w:rsidRDefault="003F0EDC" w:rsidP="003F0EDC">
      <w:pPr>
        <w:pStyle w:val="text"/>
      </w:pPr>
    </w:p>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Date</w:t>
      </w:r>
      <w:r>
        <w:tab/>
      </w:r>
    </w:p>
    <w:p w:rsidR="003F0EDC" w:rsidRDefault="003F0EDC" w:rsidP="003F0EDC"/>
    <w:p w:rsidR="003F0EDC" w:rsidRDefault="003F0EDC" w:rsidP="003F0EDC">
      <w:r>
        <w:br w:type="page"/>
      </w:r>
      <w:r>
        <w:lastRenderedPageBreak/>
        <w:t>Signed on behalf of The Methodist Council</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Date</w:t>
      </w:r>
      <w:r>
        <w:tab/>
      </w:r>
    </w:p>
    <w:p w:rsidR="003F0EDC" w:rsidRDefault="003F0EDC" w:rsidP="003F0EDC"/>
    <w:p w:rsidR="003F0EDC" w:rsidRDefault="003F0EDC" w:rsidP="003F0EDC">
      <w:pPr>
        <w:pStyle w:val="text"/>
        <w:jc w:val="left"/>
      </w:pPr>
      <w:r>
        <w:t>Signed on behalf of Cliff College</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Date</w:t>
      </w:r>
      <w:r>
        <w:tab/>
      </w:r>
    </w:p>
    <w:p w:rsidR="003F0EDC" w:rsidRDefault="003F0EDC" w:rsidP="003F0EDC">
      <w:pPr>
        <w:pStyle w:val="text"/>
        <w:jc w:val="left"/>
      </w:pPr>
    </w:p>
    <w:p w:rsidR="003F0EDC" w:rsidRDefault="003F0EDC" w:rsidP="003F0EDC">
      <w:pPr>
        <w:pStyle w:val="text"/>
        <w:jc w:val="left"/>
      </w:pPr>
      <w:r>
        <w:t>Signed on behalf of Central Finance Board</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Date</w:t>
      </w:r>
      <w:r>
        <w:tab/>
      </w:r>
    </w:p>
    <w:p w:rsidR="003F0EDC" w:rsidRDefault="003F0EDC" w:rsidP="003F0EDC">
      <w:pPr>
        <w:tabs>
          <w:tab w:val="right" w:leader="dot" w:pos="7000"/>
        </w:tabs>
      </w:pPr>
    </w:p>
    <w:p w:rsidR="003F0EDC" w:rsidRDefault="003F0EDC" w:rsidP="003F0EDC">
      <w:pPr>
        <w:tabs>
          <w:tab w:val="right" w:leader="dot" w:pos="7000"/>
        </w:tabs>
      </w:pPr>
    </w:p>
    <w:p w:rsidR="003F0EDC" w:rsidRDefault="003F0EDC" w:rsidP="003F0EDC">
      <w:pPr>
        <w:tabs>
          <w:tab w:val="right" w:leader="dot" w:pos="7000"/>
        </w:tabs>
      </w:pPr>
      <w:r>
        <w:t>Signed on behalf of Methodist Ministers’ Housing Society</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00"/>
        </w:tabs>
      </w:pPr>
      <w:r>
        <w:t>Date</w:t>
      </w:r>
      <w:r>
        <w:tab/>
      </w:r>
    </w:p>
    <w:p w:rsidR="003F0EDC" w:rsidRDefault="003F0EDC" w:rsidP="003F0EDC"/>
    <w:p w:rsidR="003F0EDC" w:rsidRDefault="003F0EDC" w:rsidP="003F0EDC"/>
    <w:p w:rsidR="003F0EDC" w:rsidRDefault="003F0EDC" w:rsidP="003F0EDC">
      <w:r>
        <w:t>Signed on behalf of Central Hall Westminster Limited</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00"/>
        </w:tabs>
      </w:pPr>
      <w:r>
        <w:t>Date</w:t>
      </w:r>
      <w:r>
        <w:tab/>
      </w:r>
    </w:p>
    <w:p w:rsidR="003F0EDC" w:rsidRDefault="003F0EDC" w:rsidP="003F0EDC">
      <w:pPr>
        <w:tabs>
          <w:tab w:val="right" w:leader="dot" w:pos="7000"/>
        </w:tabs>
      </w:pPr>
    </w:p>
    <w:p w:rsidR="003F0EDC" w:rsidRDefault="003F0EDC" w:rsidP="003F0EDC">
      <w:pPr>
        <w:tabs>
          <w:tab w:val="right" w:leader="dot" w:pos="7000"/>
        </w:tabs>
      </w:pPr>
      <w:r>
        <w:br w:type="page"/>
      </w:r>
      <w:r>
        <w:lastRenderedPageBreak/>
        <w:t xml:space="preserve">Signed on behalf of </w:t>
      </w:r>
      <w:smartTag w:uri="urn:schemas-microsoft-com:office:smarttags" w:element="PlaceName">
        <w:r>
          <w:t>Wesley</w:t>
        </w:r>
      </w:smartTag>
      <w:r>
        <w:t xml:space="preserve"> </w:t>
      </w:r>
      <w:smartTag w:uri="urn:schemas-microsoft-com:office:smarttags" w:element="PlaceName">
        <w:r>
          <w:t>College</w:t>
        </w:r>
      </w:smartTag>
      <w:r>
        <w:t xml:space="preserve">, </w:t>
      </w:r>
      <w:smartTag w:uri="urn:schemas-microsoft-com:office:smarttags" w:element="City">
        <w:smartTag w:uri="urn:schemas-microsoft-com:office:smarttags" w:element="place">
          <w:r>
            <w:t>Cambridge</w:t>
          </w:r>
        </w:smartTag>
      </w:smartTag>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00"/>
        </w:tabs>
      </w:pPr>
      <w:r>
        <w:t>Date</w:t>
      </w:r>
      <w:r>
        <w:tab/>
      </w:r>
    </w:p>
    <w:p w:rsidR="003F0EDC" w:rsidRDefault="003F0EDC" w:rsidP="003F0EDC">
      <w:pPr>
        <w:tabs>
          <w:tab w:val="right" w:leader="dot" w:pos="7000"/>
        </w:tabs>
      </w:pPr>
    </w:p>
    <w:p w:rsidR="003F0EDC" w:rsidRDefault="003F0EDC" w:rsidP="003F0EDC">
      <w:pPr>
        <w:tabs>
          <w:tab w:val="right" w:leader="dot" w:pos="7000"/>
        </w:tabs>
      </w:pPr>
    </w:p>
    <w:p w:rsidR="003F0EDC" w:rsidRDefault="003F0EDC" w:rsidP="003F0EDC">
      <w:pPr>
        <w:tabs>
          <w:tab w:val="right" w:leader="dot" w:pos="7000"/>
        </w:tabs>
      </w:pPr>
      <w:r>
        <w:t>Signed on behalf of Guy Chester Centre</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00"/>
        </w:tabs>
      </w:pPr>
      <w:r>
        <w:t>Date</w:t>
      </w:r>
      <w:r>
        <w:tab/>
      </w:r>
    </w:p>
    <w:p w:rsidR="003F0EDC" w:rsidRDefault="003F0EDC" w:rsidP="003F0EDC">
      <w:pPr>
        <w:tabs>
          <w:tab w:val="right" w:leader="dot" w:pos="7000"/>
        </w:tabs>
      </w:pPr>
    </w:p>
    <w:p w:rsidR="003F0EDC" w:rsidRDefault="003F0EDC" w:rsidP="003F0EDC">
      <w:pPr>
        <w:tabs>
          <w:tab w:val="right" w:leader="dot" w:pos="7000"/>
        </w:tabs>
      </w:pPr>
    </w:p>
    <w:p w:rsidR="003F0EDC" w:rsidRDefault="003F0EDC" w:rsidP="003F0EDC">
      <w:pPr>
        <w:tabs>
          <w:tab w:val="right" w:leader="dot" w:pos="7000"/>
        </w:tabs>
      </w:pPr>
      <w:r>
        <w:t>Signed on behalf of Trustees for Methodist Church Purposes</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00"/>
        </w:tabs>
      </w:pPr>
      <w:r>
        <w:t>Date</w:t>
      </w:r>
      <w:r>
        <w:tab/>
      </w:r>
    </w:p>
    <w:p w:rsidR="003F0EDC" w:rsidRDefault="003F0EDC" w:rsidP="003F0EDC">
      <w:pPr>
        <w:tabs>
          <w:tab w:val="right" w:leader="dot" w:pos="7000"/>
        </w:tabs>
      </w:pPr>
    </w:p>
    <w:p w:rsidR="003F0EDC" w:rsidRDefault="003F0EDC" w:rsidP="003F0EDC">
      <w:pPr>
        <w:tabs>
          <w:tab w:val="right" w:leader="dot" w:pos="7000"/>
        </w:tabs>
      </w:pPr>
    </w:p>
    <w:p w:rsidR="003F0EDC" w:rsidRDefault="003F0EDC" w:rsidP="003F0EDC">
      <w:pPr>
        <w:tabs>
          <w:tab w:val="right" w:leader="dot" w:pos="7000"/>
        </w:tabs>
      </w:pPr>
      <w:r>
        <w:t>Signed on behalf of Methodist Relief and Development Fund</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00"/>
        </w:tabs>
      </w:pPr>
      <w:r>
        <w:t>Date</w:t>
      </w:r>
      <w:r>
        <w:tab/>
      </w:r>
    </w:p>
    <w:p w:rsidR="003F0EDC" w:rsidRDefault="003F0EDC" w:rsidP="008006EB">
      <w:pPr>
        <w:pStyle w:val="text"/>
      </w:pPr>
    </w:p>
    <w:p w:rsidR="003F0EDC" w:rsidRDefault="003F0EDC" w:rsidP="008006EB">
      <w:pPr>
        <w:pStyle w:val="text"/>
      </w:pPr>
    </w:p>
    <w:p w:rsidR="003F0EDC" w:rsidRDefault="003F0EDC" w:rsidP="008006EB">
      <w:pPr>
        <w:pStyle w:val="text"/>
      </w:pPr>
    </w:p>
    <w:p w:rsidR="003F0EDC" w:rsidRDefault="003F0EDC" w:rsidP="008006EB">
      <w:pPr>
        <w:pStyle w:val="text"/>
      </w:pPr>
    </w:p>
    <w:p w:rsidR="003F0EDC" w:rsidRDefault="003F0EDC" w:rsidP="008006EB">
      <w:pPr>
        <w:pStyle w:val="text"/>
      </w:pPr>
    </w:p>
    <w:p w:rsidR="003F0EDC" w:rsidRDefault="003F0EDC" w:rsidP="008006EB">
      <w:pPr>
        <w:pStyle w:val="text"/>
      </w:pPr>
    </w:p>
    <w:p w:rsidR="003F0EDC" w:rsidRDefault="003F0EDC" w:rsidP="008006EB">
      <w:pPr>
        <w:pStyle w:val="tex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tblGrid>
      <w:tr w:rsidR="003F0EDC" w:rsidTr="00523AC5">
        <w:trPr>
          <w:jc w:val="right"/>
        </w:trPr>
        <w:tc>
          <w:tcPr>
            <w:tcW w:w="1708" w:type="dxa"/>
            <w:shd w:val="clear" w:color="auto" w:fill="auto"/>
          </w:tcPr>
          <w:p w:rsidR="003F0EDC" w:rsidRPr="00540F66" w:rsidRDefault="003F0EDC" w:rsidP="00523AC5">
            <w:pPr>
              <w:pStyle w:val="text"/>
              <w:spacing w:before="120"/>
              <w:rPr>
                <w:b/>
                <w:bCs/>
                <w:color w:val="000000"/>
                <w:sz w:val="46"/>
              </w:rPr>
            </w:pPr>
            <w:r w:rsidRPr="00540F66">
              <w:rPr>
                <w:b/>
                <w:bCs/>
                <w:color w:val="000000"/>
                <w:sz w:val="46"/>
              </w:rPr>
              <w:lastRenderedPageBreak/>
              <w:t>DRAFT</w:t>
            </w:r>
          </w:p>
        </w:tc>
      </w:tr>
    </w:tbl>
    <w:p w:rsidR="003F0EDC" w:rsidRDefault="003F0EDC" w:rsidP="003F0EDC">
      <w:pPr>
        <w:pStyle w:val="text"/>
        <w:jc w:val="center"/>
        <w:rPr>
          <w:b/>
          <w:u w:val="single"/>
        </w:rPr>
      </w:pPr>
    </w:p>
    <w:p w:rsidR="003F0EDC" w:rsidRPr="00771D2A" w:rsidRDefault="003F0EDC" w:rsidP="003F0EDC">
      <w:pPr>
        <w:pStyle w:val="text"/>
        <w:jc w:val="center"/>
        <w:rPr>
          <w:b/>
          <w:u w:val="single"/>
        </w:rPr>
      </w:pPr>
      <w:r w:rsidRPr="00771D2A">
        <w:rPr>
          <w:b/>
          <w:u w:val="single"/>
        </w:rPr>
        <w:t>PENSION AND ASSURANCE SCHEME FOR LAY EMPLOYEES OF THE METHODIST CHURCH</w:t>
      </w:r>
    </w:p>
    <w:p w:rsidR="003F0EDC" w:rsidRDefault="003F0EDC" w:rsidP="003F0EDC">
      <w:pPr>
        <w:pStyle w:val="text"/>
        <w:jc w:val="center"/>
        <w:rPr>
          <w:b/>
          <w:u w:val="single"/>
        </w:rPr>
      </w:pPr>
      <w:r>
        <w:rPr>
          <w:b/>
          <w:u w:val="single"/>
        </w:rPr>
        <w:t xml:space="preserve">Schedule of Contributions for the period 1 </w:t>
      </w:r>
      <w:r w:rsidRPr="00577B6D">
        <w:rPr>
          <w:b/>
          <w:u w:val="single"/>
        </w:rPr>
        <w:t>September</w:t>
      </w:r>
      <w:r>
        <w:rPr>
          <w:b/>
          <w:u w:val="single"/>
        </w:rPr>
        <w:t xml:space="preserve"> 2015 to 31 August 2020</w:t>
      </w:r>
    </w:p>
    <w:p w:rsidR="003F0EDC" w:rsidRDefault="003F0EDC" w:rsidP="003F0EDC">
      <w:pPr>
        <w:pStyle w:val="text"/>
      </w:pPr>
      <w:r>
        <w:t xml:space="preserve">The schedule of contributions agreed by the Trustee on 1 March 2012 has been reviewed and revised by the Trustee to satisfy the requirements of Section 227 of the Pensions Act 2004, after obtaining the advice of Diana Simon, the </w:t>
      </w:r>
      <w:r w:rsidRPr="00F15021">
        <w:rPr>
          <w:spacing w:val="-3"/>
        </w:rPr>
        <w:t>Scheme</w:t>
      </w:r>
      <w:r>
        <w:rPr>
          <w:spacing w:val="-3"/>
        </w:rPr>
        <w:t xml:space="preserve"> Actuary</w:t>
      </w:r>
      <w:r>
        <w:t xml:space="preserve"> and after obtaining the agreement of the Employers, namely</w:t>
      </w:r>
      <w:r w:rsidRPr="00771D2A">
        <w:t>:</w:t>
      </w:r>
    </w:p>
    <w:tbl>
      <w:tblPr>
        <w:tblStyle w:val="TableGrid"/>
        <w:tblW w:w="0" w:type="auto"/>
        <w:tblInd w:w="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900"/>
        <w:gridCol w:w="500"/>
        <w:gridCol w:w="4335"/>
      </w:tblGrid>
      <w:tr w:rsidR="003F0EDC" w:rsidTr="00523AC5">
        <w:tc>
          <w:tcPr>
            <w:tcW w:w="3900" w:type="dxa"/>
          </w:tcPr>
          <w:p w:rsidR="003F0EDC" w:rsidRDefault="003F0EDC" w:rsidP="00523AC5">
            <w:pPr>
              <w:pStyle w:val="text"/>
              <w:jc w:val="left"/>
            </w:pPr>
            <w:r>
              <w:t xml:space="preserve">The </w:t>
            </w:r>
            <w:smartTag w:uri="urn:schemas-microsoft-com:office:smarttags" w:element="place">
              <w:smartTag w:uri="urn:schemas-microsoft-com:office:smarttags" w:element="PlaceName">
                <w:r>
                  <w:t>Methodist</w:t>
                </w:r>
              </w:smartTag>
              <w:r>
                <w:t xml:space="preserve"> </w:t>
              </w:r>
              <w:smartTag w:uri="urn:schemas-microsoft-com:office:smarttags" w:element="PlaceName">
                <w:r>
                  <w:t>Council</w:t>
                </w:r>
              </w:smartTag>
              <w:r>
                <w:br/>
              </w:r>
              <w:smartTag w:uri="urn:schemas-microsoft-com:office:smarttags" w:element="PlaceName">
                <w:r>
                  <w:t>Cliff</w:t>
                </w:r>
              </w:smartTag>
              <w:r>
                <w:t xml:space="preserve"> </w:t>
              </w:r>
              <w:smartTag w:uri="urn:schemas-microsoft-com:office:smarttags" w:element="PlaceName">
                <w:r>
                  <w:t>College</w:t>
                </w:r>
              </w:smartTag>
            </w:smartTag>
            <w:r>
              <w:br/>
              <w:t>Central Finance Board</w:t>
            </w:r>
            <w:r>
              <w:br/>
              <w:t>Methodist Ministers’ Housing Society</w:t>
            </w:r>
            <w:r>
              <w:br/>
              <w:t>Central Hall Westminster Limited</w:t>
            </w:r>
          </w:p>
        </w:tc>
        <w:tc>
          <w:tcPr>
            <w:tcW w:w="500" w:type="dxa"/>
          </w:tcPr>
          <w:p w:rsidR="003F0EDC" w:rsidRDefault="003F0EDC" w:rsidP="00523AC5">
            <w:pPr>
              <w:pStyle w:val="text"/>
              <w:jc w:val="left"/>
            </w:pPr>
          </w:p>
        </w:tc>
        <w:tc>
          <w:tcPr>
            <w:tcW w:w="4335" w:type="dxa"/>
          </w:tcPr>
          <w:p w:rsidR="003F0EDC" w:rsidRDefault="003F0EDC" w:rsidP="00523AC5">
            <w:pPr>
              <w:pStyle w:val="text"/>
              <w:jc w:val="left"/>
            </w:pPr>
            <w:smartTag w:uri="urn:schemas-microsoft-com:office:smarttags" w:element="PlaceName">
              <w:r>
                <w:t>Wesley</w:t>
              </w:r>
            </w:smartTag>
            <w:r>
              <w:t xml:space="preserve"> </w:t>
            </w:r>
            <w:smartTag w:uri="urn:schemas-microsoft-com:office:smarttags" w:element="PlaceName">
              <w:r>
                <w:t>College</w:t>
              </w:r>
            </w:smartTag>
            <w:r>
              <w:t xml:space="preserve">, </w:t>
            </w:r>
            <w:smartTag w:uri="urn:schemas-microsoft-com:office:smarttags" w:element="City">
              <w:r>
                <w:t>Cambridge</w:t>
              </w:r>
            </w:smartTag>
            <w:r>
              <w:br/>
              <w:t>Guy Chester Centre</w:t>
            </w:r>
            <w:r>
              <w:br/>
              <w:t xml:space="preserve">Trustees for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 xml:space="preserve"> Purposes</w:t>
            </w:r>
            <w:r>
              <w:br/>
              <w:t>Methodist Relief and Development Fund</w:t>
            </w:r>
          </w:p>
        </w:tc>
      </w:tr>
    </w:tbl>
    <w:p w:rsidR="003F0EDC" w:rsidRPr="00607EC5" w:rsidRDefault="003F0EDC" w:rsidP="003F0EDC">
      <w:pPr>
        <w:pStyle w:val="text"/>
      </w:pPr>
      <w:r w:rsidRPr="00607EC5">
        <w:t>It covers contributions to the Scheme from all Employers who participate in the Scheme from time to time.</w:t>
      </w:r>
    </w:p>
    <w:p w:rsidR="003F0EDC" w:rsidRPr="00607EC5" w:rsidRDefault="003F0EDC" w:rsidP="003F0EDC">
      <w:pPr>
        <w:pStyle w:val="text"/>
        <w:numPr>
          <w:ilvl w:val="0"/>
          <w:numId w:val="8"/>
        </w:numPr>
        <w:rPr>
          <w:b/>
        </w:rPr>
      </w:pPr>
      <w:r w:rsidRPr="00607EC5">
        <w:rPr>
          <w:b/>
        </w:rPr>
        <w:t>Employer contributions</w:t>
      </w:r>
    </w:p>
    <w:p w:rsidR="003F0EDC" w:rsidRPr="00607EC5" w:rsidRDefault="003F0EDC" w:rsidP="003F0EDC">
      <w:pPr>
        <w:pStyle w:val="text"/>
        <w:ind w:left="720" w:hanging="720"/>
      </w:pPr>
      <w:r w:rsidRPr="00607EC5">
        <w:tab/>
        <w:t>In respect of future accrual of benefits, the provision of death in service benefits and the expenses of administering the Scheme, each Employer will pay the following:</w:t>
      </w:r>
    </w:p>
    <w:p w:rsidR="003F0EDC" w:rsidRPr="00607EC5" w:rsidRDefault="003F0EDC" w:rsidP="003F0EDC">
      <w:pPr>
        <w:pStyle w:val="BulletText1"/>
        <w:ind w:left="1071"/>
      </w:pPr>
      <w:r>
        <w:t>24.1</w:t>
      </w:r>
      <w:r w:rsidRPr="00607EC5">
        <w:t>%</w:t>
      </w:r>
      <w:r>
        <w:t xml:space="preserve"> pa</w:t>
      </w:r>
      <w:r w:rsidRPr="00607EC5">
        <w:t xml:space="preserve"> of pensionable </w:t>
      </w:r>
      <w:r>
        <w:t>earnings from 1 September 2015</w:t>
      </w:r>
      <w:r w:rsidRPr="00607EC5">
        <w:t>.</w:t>
      </w:r>
    </w:p>
    <w:p w:rsidR="003F0EDC" w:rsidRDefault="003F0EDC" w:rsidP="003F0EDC">
      <w:pPr>
        <w:pStyle w:val="text"/>
        <w:ind w:left="720" w:hanging="720"/>
      </w:pPr>
      <w:r w:rsidRPr="00607EC5">
        <w:tab/>
      </w:r>
      <w:r>
        <w:t>T</w:t>
      </w:r>
      <w:r w:rsidRPr="00607EC5">
        <w:t>hese contributions are to be paid to the Scheme on or before the 19</w:t>
      </w:r>
      <w:r w:rsidRPr="00607EC5">
        <w:rPr>
          <w:vertAlign w:val="superscript"/>
        </w:rPr>
        <w:t>th</w:t>
      </w:r>
      <w:r w:rsidRPr="00607EC5">
        <w:t xml:space="preserve"> day of the calendar month following that to which the payment relates</w:t>
      </w:r>
      <w:r>
        <w:t>.</w:t>
      </w:r>
    </w:p>
    <w:p w:rsidR="003F0EDC" w:rsidRDefault="003F0EDC" w:rsidP="003F0EDC">
      <w:pPr>
        <w:pStyle w:val="text"/>
        <w:ind w:left="720"/>
      </w:pPr>
      <w:r w:rsidRPr="00607EC5">
        <w:t xml:space="preserve">In respect of the shortfall in funding in accordance with the recovery plan agreed by the Trustee on </w:t>
      </w:r>
      <w:r>
        <w:t>5 March 2015</w:t>
      </w:r>
      <w:r w:rsidRPr="00607EC5">
        <w:t xml:space="preserve">, </w:t>
      </w:r>
      <w:r>
        <w:t xml:space="preserve">a lump sum payment of £448,000 will be transferred from the Pension Reserve Fund to the Scheme in September 2015. </w:t>
      </w:r>
    </w:p>
    <w:p w:rsidR="003F0EDC" w:rsidRPr="00607EC5" w:rsidRDefault="003F0EDC" w:rsidP="003F0EDC">
      <w:pPr>
        <w:pStyle w:val="text"/>
        <w:numPr>
          <w:ilvl w:val="0"/>
          <w:numId w:val="8"/>
        </w:numPr>
        <w:rPr>
          <w:b/>
        </w:rPr>
      </w:pPr>
      <w:r w:rsidRPr="00607EC5">
        <w:rPr>
          <w:b/>
        </w:rPr>
        <w:t>Expenses</w:t>
      </w:r>
    </w:p>
    <w:p w:rsidR="003F0EDC" w:rsidRPr="00607EC5" w:rsidRDefault="003F0EDC" w:rsidP="003F0EDC">
      <w:pPr>
        <w:pStyle w:val="text"/>
        <w:ind w:left="720"/>
      </w:pPr>
      <w:r w:rsidRPr="00607EC5">
        <w:t>These contributions include</w:t>
      </w:r>
      <w:r>
        <w:t xml:space="preserve"> </w:t>
      </w:r>
      <w:r w:rsidRPr="00607EC5">
        <w:t>3</w:t>
      </w:r>
      <w:r>
        <w:t>.7</w:t>
      </w:r>
      <w:r w:rsidRPr="00607EC5">
        <w:t>%</w:t>
      </w:r>
      <w:r>
        <w:t xml:space="preserve"> pa</w:t>
      </w:r>
      <w:r w:rsidRPr="00607EC5">
        <w:t xml:space="preserve"> of pensionable </w:t>
      </w:r>
      <w:r>
        <w:t xml:space="preserve">earnings </w:t>
      </w:r>
      <w:r w:rsidRPr="00607EC5">
        <w:t>in respect of expenses</w:t>
      </w:r>
      <w:r>
        <w:t>,</w:t>
      </w:r>
      <w:r w:rsidRPr="00607EC5">
        <w:t xml:space="preserve"> including an annual provision of £</w:t>
      </w:r>
      <w:r>
        <w:t>23,300 pa</w:t>
      </w:r>
      <w:r w:rsidRPr="00607EC5">
        <w:t xml:space="preserve"> for payment of the </w:t>
      </w:r>
      <w:r>
        <w:t xml:space="preserve">regulatory fees including the </w:t>
      </w:r>
      <w:r w:rsidRPr="00607EC5">
        <w:t>Pension Protection Fund levy.</w:t>
      </w:r>
    </w:p>
    <w:p w:rsidR="003F0EDC" w:rsidRPr="00607EC5" w:rsidRDefault="003F0EDC" w:rsidP="003F0EDC">
      <w:pPr>
        <w:pStyle w:val="text"/>
        <w:numPr>
          <w:ilvl w:val="0"/>
          <w:numId w:val="8"/>
        </w:numPr>
        <w:rPr>
          <w:b/>
        </w:rPr>
      </w:pPr>
      <w:r w:rsidRPr="00607EC5">
        <w:rPr>
          <w:b/>
        </w:rPr>
        <w:t>Augmentation payments</w:t>
      </w:r>
    </w:p>
    <w:p w:rsidR="003F0EDC" w:rsidRDefault="003F0EDC" w:rsidP="003F0EDC">
      <w:pPr>
        <w:pStyle w:val="text"/>
        <w:ind w:left="720" w:hanging="720"/>
      </w:pPr>
      <w:r w:rsidRPr="00607EC5">
        <w:tab/>
        <w:t>In respect of any augmentations granted, the relevant Employer will pay additional amounts to cover the costs of benefit augmentations within one month of the later of the date of granting the augmentation and the date on which the Trustee receives the details of the costs from the Scheme Actuary.</w:t>
      </w:r>
    </w:p>
    <w:p w:rsidR="003F0EDC" w:rsidRDefault="003F0EDC" w:rsidP="003F0EDC">
      <w:pPr>
        <w:pStyle w:val="text"/>
        <w:ind w:left="720" w:hanging="720"/>
      </w:pPr>
    </w:p>
    <w:p w:rsidR="003F0EDC" w:rsidRPr="00607EC5" w:rsidRDefault="003F0EDC" w:rsidP="003F0EDC">
      <w:pPr>
        <w:pStyle w:val="text"/>
        <w:numPr>
          <w:ilvl w:val="0"/>
          <w:numId w:val="8"/>
        </w:numPr>
        <w:rPr>
          <w:b/>
        </w:rPr>
      </w:pPr>
      <w:r w:rsidRPr="00607EC5">
        <w:rPr>
          <w:b/>
        </w:rPr>
        <w:lastRenderedPageBreak/>
        <w:t>Contributions by active members</w:t>
      </w:r>
    </w:p>
    <w:p w:rsidR="003F0EDC" w:rsidRPr="00607EC5" w:rsidRDefault="003F0EDC" w:rsidP="003F0EDC">
      <w:pPr>
        <w:pStyle w:val="text"/>
        <w:ind w:left="720"/>
      </w:pPr>
      <w:r w:rsidRPr="00607EC5">
        <w:t>Members will pay contributions at the rate of</w:t>
      </w:r>
      <w:r>
        <w:t xml:space="preserve"> 8</w:t>
      </w:r>
      <w:r w:rsidRPr="00607EC5">
        <w:t>%</w:t>
      </w:r>
      <w:r>
        <w:t xml:space="preserve"> pa</w:t>
      </w:r>
      <w:r w:rsidRPr="00607EC5">
        <w:t xml:space="preserve"> of pensionable </w:t>
      </w:r>
      <w:r>
        <w:t>earnings.</w:t>
      </w:r>
    </w:p>
    <w:p w:rsidR="003F0EDC" w:rsidRPr="00607EC5" w:rsidRDefault="003F0EDC" w:rsidP="003F0EDC">
      <w:pPr>
        <w:pStyle w:val="text"/>
        <w:ind w:left="720"/>
      </w:pPr>
      <w:r w:rsidRPr="00607EC5">
        <w:t>These contributions are to be deducted from pay by the Employers and paid to the Scheme on or before the 19</w:t>
      </w:r>
      <w:r w:rsidRPr="00607EC5">
        <w:rPr>
          <w:vertAlign w:val="superscript"/>
        </w:rPr>
        <w:t>th</w:t>
      </w:r>
      <w:r w:rsidRPr="00607EC5">
        <w:t xml:space="preserve"> day of the calendar month following deduction.</w:t>
      </w:r>
    </w:p>
    <w:p w:rsidR="003F0EDC" w:rsidRPr="00607EC5" w:rsidRDefault="003F0EDC" w:rsidP="003F0EDC">
      <w:pPr>
        <w:pStyle w:val="text"/>
      </w:pPr>
      <w:r w:rsidRPr="00607EC5">
        <w:tab/>
        <w:t>These amounts do not include members’ Additional Voluntary Contributions.</w:t>
      </w:r>
    </w:p>
    <w:p w:rsidR="003F0EDC" w:rsidRPr="00607EC5" w:rsidRDefault="003F0EDC" w:rsidP="003F0EDC">
      <w:pPr>
        <w:pStyle w:val="text"/>
        <w:numPr>
          <w:ilvl w:val="0"/>
          <w:numId w:val="8"/>
        </w:numPr>
        <w:rPr>
          <w:b/>
        </w:rPr>
      </w:pPr>
      <w:r w:rsidRPr="00607EC5">
        <w:rPr>
          <w:b/>
        </w:rPr>
        <w:t>Definition of Pension</w:t>
      </w:r>
      <w:r>
        <w:rPr>
          <w:b/>
        </w:rPr>
        <w:t>able Earnings</w:t>
      </w:r>
    </w:p>
    <w:p w:rsidR="003F0EDC" w:rsidRDefault="003F0EDC" w:rsidP="003F0EDC">
      <w:pPr>
        <w:pStyle w:val="text"/>
        <w:ind w:left="720" w:hanging="720"/>
      </w:pPr>
      <w:r w:rsidRPr="00607EC5">
        <w:tab/>
        <w:t xml:space="preserve">The definition of pensionable </w:t>
      </w:r>
      <w:r>
        <w:t xml:space="preserve">earnings </w:t>
      </w:r>
      <w:r w:rsidRPr="00607EC5">
        <w:t xml:space="preserve">is the rate of </w:t>
      </w:r>
      <w:r>
        <w:t xml:space="preserve">basic annual earnings on 1 September each year reduced by an amount equal to the basic flat-rate annual retirement pension for a single person under the state scheme. </w:t>
      </w:r>
    </w:p>
    <w:p w:rsidR="003F0EDC" w:rsidRDefault="003F0EDC" w:rsidP="003F0EDC">
      <w:pPr>
        <w:pStyle w:val="text"/>
        <w:jc w:val="left"/>
      </w:pPr>
    </w:p>
    <w:p w:rsidR="003F0EDC" w:rsidRDefault="003F0EDC" w:rsidP="003F0EDC">
      <w:pPr>
        <w:pStyle w:val="text"/>
        <w:jc w:val="left"/>
      </w:pPr>
      <w:r>
        <w:t xml:space="preserve">Signed on behalf of the Trustee of the Pension and Assurance Scheme for Lay Employees of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p>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Date</w:t>
      </w:r>
      <w:r>
        <w:tab/>
      </w:r>
    </w:p>
    <w:p w:rsidR="003F0EDC" w:rsidRDefault="003F0EDC" w:rsidP="003F0EDC"/>
    <w:p w:rsidR="003F0EDC" w:rsidRDefault="003F0EDC" w:rsidP="003F0EDC">
      <w:r>
        <w:br w:type="page"/>
      </w:r>
      <w:r>
        <w:lastRenderedPageBreak/>
        <w:t>Signed on behalf of The Methodist Council</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Date</w:t>
      </w:r>
      <w:r>
        <w:tab/>
      </w:r>
    </w:p>
    <w:p w:rsidR="003F0EDC" w:rsidRDefault="003F0EDC" w:rsidP="003F0EDC"/>
    <w:p w:rsidR="003F0EDC" w:rsidRDefault="003F0EDC" w:rsidP="003F0EDC"/>
    <w:p w:rsidR="003F0EDC" w:rsidRDefault="003F0EDC" w:rsidP="003F0EDC">
      <w:pPr>
        <w:pStyle w:val="text"/>
        <w:jc w:val="left"/>
      </w:pPr>
      <w:r>
        <w:t>Signed on behalf of Cliff College</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Date</w:t>
      </w:r>
      <w:r>
        <w:tab/>
      </w:r>
    </w:p>
    <w:p w:rsidR="003F0EDC" w:rsidRDefault="003F0EDC" w:rsidP="003F0EDC">
      <w:pPr>
        <w:pStyle w:val="text"/>
        <w:jc w:val="left"/>
      </w:pPr>
      <w:r>
        <w:t>Signed on behalf of Central Finance Board</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Date</w:t>
      </w:r>
      <w:r>
        <w:tab/>
      </w:r>
    </w:p>
    <w:p w:rsidR="003F0EDC" w:rsidRDefault="003F0EDC" w:rsidP="003F0EDC">
      <w:pPr>
        <w:tabs>
          <w:tab w:val="right" w:leader="dot" w:pos="7000"/>
        </w:tabs>
      </w:pPr>
    </w:p>
    <w:p w:rsidR="003F0EDC" w:rsidRDefault="003F0EDC" w:rsidP="003F0EDC">
      <w:pPr>
        <w:tabs>
          <w:tab w:val="right" w:leader="dot" w:pos="7000"/>
        </w:tabs>
      </w:pPr>
      <w:r>
        <w:t>Signed on behalf of Methodist Ministers’ Housing Society</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00"/>
        </w:tabs>
      </w:pPr>
      <w:r>
        <w:t>Date</w:t>
      </w:r>
      <w:r>
        <w:tab/>
      </w:r>
    </w:p>
    <w:p w:rsidR="003F0EDC" w:rsidRDefault="003F0EDC" w:rsidP="003F0EDC"/>
    <w:p w:rsidR="003F0EDC" w:rsidRDefault="003F0EDC" w:rsidP="003F0EDC">
      <w:r>
        <w:t>Signed on behalf of Central Hall Westminster Limited</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00"/>
        </w:tabs>
      </w:pPr>
      <w:r>
        <w:t>Date</w:t>
      </w:r>
      <w:r>
        <w:tab/>
      </w:r>
    </w:p>
    <w:p w:rsidR="003F0EDC" w:rsidRDefault="003F0EDC" w:rsidP="003F0EDC">
      <w:pPr>
        <w:tabs>
          <w:tab w:val="right" w:leader="dot" w:pos="7000"/>
        </w:tabs>
      </w:pPr>
    </w:p>
    <w:p w:rsidR="003F0EDC" w:rsidRDefault="003F0EDC" w:rsidP="003F0EDC">
      <w:pPr>
        <w:tabs>
          <w:tab w:val="right" w:leader="dot" w:pos="7000"/>
        </w:tabs>
      </w:pPr>
      <w:r>
        <w:br w:type="page"/>
      </w:r>
      <w:r>
        <w:lastRenderedPageBreak/>
        <w:t xml:space="preserve">Signed on behalf of </w:t>
      </w:r>
      <w:smartTag w:uri="urn:schemas-microsoft-com:office:smarttags" w:element="PlaceName">
        <w:r>
          <w:t>Wesley</w:t>
        </w:r>
      </w:smartTag>
      <w:r>
        <w:t xml:space="preserve"> </w:t>
      </w:r>
      <w:smartTag w:uri="urn:schemas-microsoft-com:office:smarttags" w:element="PlaceName">
        <w:r>
          <w:t>College</w:t>
        </w:r>
      </w:smartTag>
      <w:r>
        <w:t xml:space="preserve">, </w:t>
      </w:r>
      <w:smartTag w:uri="urn:schemas-microsoft-com:office:smarttags" w:element="place">
        <w:smartTag w:uri="urn:schemas-microsoft-com:office:smarttags" w:element="City">
          <w:r>
            <w:t>Cambridge</w:t>
          </w:r>
        </w:smartTag>
      </w:smartTag>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00"/>
        </w:tabs>
      </w:pPr>
      <w:r>
        <w:t>Date</w:t>
      </w:r>
      <w:r>
        <w:tab/>
      </w:r>
    </w:p>
    <w:p w:rsidR="003F0EDC" w:rsidRDefault="003F0EDC" w:rsidP="003F0EDC">
      <w:pPr>
        <w:tabs>
          <w:tab w:val="right" w:leader="dot" w:pos="7000"/>
        </w:tabs>
      </w:pPr>
    </w:p>
    <w:p w:rsidR="003F0EDC" w:rsidRDefault="003F0EDC" w:rsidP="003F0EDC">
      <w:pPr>
        <w:tabs>
          <w:tab w:val="right" w:leader="dot" w:pos="7000"/>
        </w:tabs>
      </w:pPr>
      <w:r>
        <w:t>Signed on behalf of Guy Chester Centre</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00"/>
        </w:tabs>
      </w:pPr>
      <w:r>
        <w:t>Date</w:t>
      </w:r>
      <w:r>
        <w:tab/>
      </w:r>
    </w:p>
    <w:p w:rsidR="003F0EDC" w:rsidRDefault="003F0EDC" w:rsidP="003F0EDC">
      <w:pPr>
        <w:tabs>
          <w:tab w:val="right" w:leader="dot" w:pos="7000"/>
        </w:tabs>
      </w:pPr>
    </w:p>
    <w:p w:rsidR="003F0EDC" w:rsidRDefault="003F0EDC" w:rsidP="003F0EDC">
      <w:pPr>
        <w:tabs>
          <w:tab w:val="right" w:leader="dot" w:pos="7000"/>
        </w:tabs>
      </w:pPr>
      <w:r>
        <w:t>Signed on behalf of Trustees for Methodist Church Purposes</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00"/>
        </w:tabs>
      </w:pPr>
      <w:r>
        <w:t>Date</w:t>
      </w:r>
      <w:r>
        <w:tab/>
      </w:r>
    </w:p>
    <w:p w:rsidR="003F0EDC" w:rsidRDefault="003F0EDC" w:rsidP="003F0EDC">
      <w:pPr>
        <w:tabs>
          <w:tab w:val="right" w:leader="dot" w:pos="7000"/>
        </w:tabs>
      </w:pPr>
    </w:p>
    <w:p w:rsidR="003F0EDC" w:rsidRDefault="003F0EDC" w:rsidP="003F0EDC">
      <w:pPr>
        <w:tabs>
          <w:tab w:val="right" w:leader="dot" w:pos="7000"/>
        </w:tabs>
      </w:pPr>
      <w:r>
        <w:t>Signed on behalf of Methodist Relief and Development Fund</w:t>
      </w:r>
    </w:p>
    <w:p w:rsidR="003F0EDC" w:rsidRDefault="003F0EDC" w:rsidP="003F0EDC"/>
    <w:p w:rsidR="003F0EDC" w:rsidRDefault="003F0EDC" w:rsidP="003F0EDC"/>
    <w:p w:rsidR="003F0EDC" w:rsidRDefault="003F0EDC" w:rsidP="003F0EDC">
      <w:pPr>
        <w:tabs>
          <w:tab w:val="right" w:leader="dot" w:pos="7020"/>
        </w:tabs>
      </w:pPr>
      <w:r>
        <w:t>Name</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20"/>
        </w:tabs>
      </w:pPr>
      <w:r>
        <w:t>Position</w:t>
      </w:r>
      <w:r>
        <w:tab/>
      </w:r>
    </w:p>
    <w:p w:rsidR="003F0EDC" w:rsidRDefault="003F0EDC" w:rsidP="003F0EDC">
      <w:pPr>
        <w:tabs>
          <w:tab w:val="right" w:leader="dot" w:pos="7020"/>
        </w:tabs>
      </w:pPr>
    </w:p>
    <w:p w:rsidR="003F0EDC" w:rsidRDefault="003F0EDC" w:rsidP="003F0EDC">
      <w:pPr>
        <w:tabs>
          <w:tab w:val="right" w:leader="dot" w:pos="7020"/>
        </w:tabs>
      </w:pPr>
    </w:p>
    <w:p w:rsidR="003F0EDC" w:rsidRDefault="003F0EDC" w:rsidP="003F0EDC">
      <w:pPr>
        <w:tabs>
          <w:tab w:val="right" w:leader="dot" w:pos="7000"/>
        </w:tabs>
      </w:pPr>
      <w:r>
        <w:t>Date</w:t>
      </w:r>
      <w:r>
        <w:tab/>
      </w:r>
    </w:p>
    <w:p w:rsidR="003F0EDC" w:rsidRDefault="003F0EDC" w:rsidP="008006EB">
      <w:pPr>
        <w:pStyle w:val="text"/>
      </w:pPr>
    </w:p>
    <w:sectPr w:rsidR="003F0EDC" w:rsidSect="007C68CF">
      <w:footerReference w:type="even" r:id="rId8"/>
      <w:footerReference w:type="default" r:id="rId9"/>
      <w:headerReference w:type="first" r:id="rId10"/>
      <w:footerReference w:type="first" r:id="rId11"/>
      <w:type w:val="continuous"/>
      <w:pgSz w:w="11907" w:h="16840" w:code="9"/>
      <w:pgMar w:top="1152" w:right="1440" w:bottom="1152" w:left="1440" w:header="706"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891" w:rsidRDefault="00A13891">
      <w:r>
        <w:separator/>
      </w:r>
    </w:p>
  </w:endnote>
  <w:endnote w:type="continuationSeparator" w:id="0">
    <w:p w:rsidR="00A13891" w:rsidRDefault="00A13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0" w:rsidRDefault="006D53A3" w:rsidP="00042FCA">
    <w:pPr>
      <w:pStyle w:val="Footer"/>
      <w:framePr w:wrap="around" w:vAnchor="text" w:hAnchor="margin" w:y="1"/>
      <w:rPr>
        <w:rStyle w:val="PageNumber"/>
      </w:rPr>
    </w:pPr>
    <w:r>
      <w:rPr>
        <w:rStyle w:val="PageNumber"/>
      </w:rPr>
      <w:fldChar w:fldCharType="begin"/>
    </w:r>
    <w:r w:rsidR="006A2F90">
      <w:rPr>
        <w:rStyle w:val="PageNumber"/>
      </w:rPr>
      <w:instrText xml:space="preserve">PAGE  </w:instrText>
    </w:r>
    <w:r>
      <w:rPr>
        <w:rStyle w:val="PageNumber"/>
      </w:rPr>
      <w:fldChar w:fldCharType="end"/>
    </w:r>
  </w:p>
  <w:p w:rsidR="006A2F90" w:rsidRDefault="006A2F90" w:rsidP="000735A0">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0" w:rsidRPr="008E3043" w:rsidRDefault="006D53A3" w:rsidP="008E3043">
    <w:pPr>
      <w:pStyle w:val="Footer"/>
      <w:framePr w:wrap="around" w:vAnchor="text" w:hAnchor="page" w:x="6141" w:y="39"/>
      <w:rPr>
        <w:rStyle w:val="PageNumber"/>
        <w:sz w:val="16"/>
        <w:szCs w:val="16"/>
      </w:rPr>
    </w:pPr>
    <w:r w:rsidRPr="008E3043">
      <w:rPr>
        <w:rStyle w:val="PageNumber"/>
        <w:sz w:val="16"/>
        <w:szCs w:val="16"/>
      </w:rPr>
      <w:fldChar w:fldCharType="begin"/>
    </w:r>
    <w:r w:rsidR="006A2F90" w:rsidRPr="008E3043">
      <w:rPr>
        <w:rStyle w:val="PageNumber"/>
        <w:sz w:val="16"/>
        <w:szCs w:val="16"/>
      </w:rPr>
      <w:instrText xml:space="preserve">PAGE  </w:instrText>
    </w:r>
    <w:r w:rsidRPr="008E3043">
      <w:rPr>
        <w:rStyle w:val="PageNumber"/>
        <w:sz w:val="16"/>
        <w:szCs w:val="16"/>
      </w:rPr>
      <w:fldChar w:fldCharType="separate"/>
    </w:r>
    <w:r w:rsidR="00EC18A2">
      <w:rPr>
        <w:rStyle w:val="PageNumber"/>
        <w:noProof/>
        <w:sz w:val="16"/>
        <w:szCs w:val="16"/>
      </w:rPr>
      <w:t>2</w:t>
    </w:r>
    <w:r w:rsidRPr="008E3043">
      <w:rPr>
        <w:rStyle w:val="PageNumber"/>
        <w:sz w:val="16"/>
        <w:szCs w:val="16"/>
      </w:rPr>
      <w:fldChar w:fldCharType="end"/>
    </w:r>
  </w:p>
  <w:p w:rsidR="006A2F90" w:rsidRPr="008E3043" w:rsidRDefault="006D53A3" w:rsidP="000B1896">
    <w:pPr>
      <w:pStyle w:val="Footerref"/>
      <w:rPr>
        <w:i w:val="0"/>
        <w:szCs w:val="16"/>
      </w:rPr>
    </w:pPr>
    <w:fldSimple w:instr=" DOCPROPERTY DMDOCNUM \* MERGEFORMAT ">
      <w:r w:rsidR="004A0CA4">
        <w:rPr>
          <w:rStyle w:val="PageNumber"/>
          <w:i w:val="0"/>
          <w:sz w:val="16"/>
          <w:szCs w:val="16"/>
        </w:rPr>
        <w:t>CL1741992.1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0" w:rsidRDefault="006A2F90" w:rsidP="000735A0">
    <w:pPr>
      <w:pStyle w:val="Footerref"/>
      <w:tabs>
        <w:tab w:val="left" w:pos="4600"/>
      </w:tabs>
      <w:ind w:left="1200" w:right="51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891" w:rsidRDefault="00A13891">
      <w:r>
        <w:separator/>
      </w:r>
    </w:p>
  </w:footnote>
  <w:footnote w:type="continuationSeparator" w:id="0">
    <w:p w:rsidR="00A13891" w:rsidRDefault="00A13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2B" w:rsidRPr="007C68CF" w:rsidRDefault="007C68CF">
    <w:pPr>
      <w:pStyle w:val="Header"/>
      <w:rPr>
        <w:b/>
        <w:sz w:val="40"/>
        <w:szCs w:val="40"/>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D42BDA"/>
    <w:lvl w:ilvl="0">
      <w:start w:val="1"/>
      <w:numFmt w:val="decimal"/>
      <w:lvlText w:val="%1."/>
      <w:lvlJc w:val="left"/>
      <w:pPr>
        <w:tabs>
          <w:tab w:val="num" w:pos="1492"/>
        </w:tabs>
        <w:ind w:left="1492" w:hanging="360"/>
      </w:pPr>
    </w:lvl>
  </w:abstractNum>
  <w:abstractNum w:abstractNumId="1">
    <w:nsid w:val="FFFFFF7D"/>
    <w:multiLevelType w:val="singleLevel"/>
    <w:tmpl w:val="B044D5F6"/>
    <w:lvl w:ilvl="0">
      <w:start w:val="1"/>
      <w:numFmt w:val="decimal"/>
      <w:lvlText w:val="%1."/>
      <w:lvlJc w:val="left"/>
      <w:pPr>
        <w:tabs>
          <w:tab w:val="num" w:pos="1209"/>
        </w:tabs>
        <w:ind w:left="1209" w:hanging="360"/>
      </w:pPr>
    </w:lvl>
  </w:abstractNum>
  <w:abstractNum w:abstractNumId="2">
    <w:nsid w:val="FFFFFF7E"/>
    <w:multiLevelType w:val="singleLevel"/>
    <w:tmpl w:val="E1447602"/>
    <w:lvl w:ilvl="0">
      <w:start w:val="1"/>
      <w:numFmt w:val="decimal"/>
      <w:lvlText w:val="%1."/>
      <w:lvlJc w:val="left"/>
      <w:pPr>
        <w:tabs>
          <w:tab w:val="num" w:pos="926"/>
        </w:tabs>
        <w:ind w:left="926" w:hanging="360"/>
      </w:pPr>
    </w:lvl>
  </w:abstractNum>
  <w:abstractNum w:abstractNumId="3">
    <w:nsid w:val="FFFFFF7F"/>
    <w:multiLevelType w:val="singleLevel"/>
    <w:tmpl w:val="1F7AF3E2"/>
    <w:lvl w:ilvl="0">
      <w:start w:val="1"/>
      <w:numFmt w:val="decimal"/>
      <w:lvlText w:val="%1."/>
      <w:lvlJc w:val="left"/>
      <w:pPr>
        <w:tabs>
          <w:tab w:val="num" w:pos="643"/>
        </w:tabs>
        <w:ind w:left="643" w:hanging="360"/>
      </w:pPr>
    </w:lvl>
  </w:abstractNum>
  <w:abstractNum w:abstractNumId="4">
    <w:nsid w:val="FFFFFF80"/>
    <w:multiLevelType w:val="singleLevel"/>
    <w:tmpl w:val="EF1C9B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E261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3A84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981C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7AE6AA"/>
    <w:lvl w:ilvl="0">
      <w:start w:val="1"/>
      <w:numFmt w:val="decimal"/>
      <w:lvlText w:val="%1."/>
      <w:lvlJc w:val="left"/>
      <w:pPr>
        <w:tabs>
          <w:tab w:val="num" w:pos="360"/>
        </w:tabs>
        <w:ind w:left="360" w:hanging="360"/>
      </w:pPr>
    </w:lvl>
  </w:abstractNum>
  <w:abstractNum w:abstractNumId="9">
    <w:nsid w:val="FFFFFF89"/>
    <w:multiLevelType w:val="singleLevel"/>
    <w:tmpl w:val="CBC83ACA"/>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FFEBC1C"/>
    <w:lvl w:ilvl="0">
      <w:start w:val="1"/>
      <w:numFmt w:val="decimal"/>
      <w:lvlText w:val="%1."/>
      <w:lvlJc w:val="left"/>
      <w:pPr>
        <w:tabs>
          <w:tab w:val="num" w:pos="720"/>
        </w:tabs>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FFFFFFFE"/>
    <w:multiLevelType w:val="singleLevel"/>
    <w:tmpl w:val="421C9606"/>
    <w:lvl w:ilvl="0">
      <w:numFmt w:val="bullet"/>
      <w:lvlText w:val="*"/>
      <w:lvlJc w:val="left"/>
    </w:lvl>
  </w:abstractNum>
  <w:abstractNum w:abstractNumId="12">
    <w:nsid w:val="06076B4D"/>
    <w:multiLevelType w:val="hybridMultilevel"/>
    <w:tmpl w:val="5080A4B2"/>
    <w:lvl w:ilvl="0" w:tplc="F0EAE1A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244D1D"/>
    <w:multiLevelType w:val="hybridMultilevel"/>
    <w:tmpl w:val="085AB5C8"/>
    <w:lvl w:ilvl="0" w:tplc="9AFC21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220A08"/>
    <w:multiLevelType w:val="multilevel"/>
    <w:tmpl w:val="8E6439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8610065"/>
    <w:multiLevelType w:val="hybridMultilevel"/>
    <w:tmpl w:val="C3485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F1685E"/>
    <w:multiLevelType w:val="multilevel"/>
    <w:tmpl w:val="E62A96F8"/>
    <w:lvl w:ilvl="0">
      <w:start w:val="1"/>
      <w:numFmt w:val="bullet"/>
      <w:lvlText w:val=""/>
      <w:lvlJc w:val="left"/>
      <w:pPr>
        <w:tabs>
          <w:tab w:val="num" w:pos="357"/>
        </w:tabs>
        <w:ind w:left="357" w:hanging="357"/>
      </w:pPr>
      <w:rPr>
        <w:rFonts w:ascii="Symbol" w:hAnsi="Symbol" w:hint="default"/>
        <w:b w:val="0"/>
        <w:i w:val="0"/>
        <w:caps w:val="0"/>
        <w:strike w:val="0"/>
        <w:dstrike w:val="0"/>
        <w:vanish w:val="0"/>
        <w:color w:val="000000"/>
        <w:sz w:val="22"/>
        <w:szCs w:val="22"/>
        <w:u w:val="none"/>
        <w:effect w:val="none"/>
        <w:vertAlign w:val="baseline"/>
      </w:rPr>
    </w:lvl>
    <w:lvl w:ilvl="1">
      <w:start w:val="1"/>
      <w:numFmt w:val="decimal"/>
      <w:lvlRestart w:val="0"/>
      <w:isLgl/>
      <w:lvlText w:val="%1.%2"/>
      <w:lvlJc w:val="left"/>
      <w:pPr>
        <w:tabs>
          <w:tab w:val="num" w:pos="720"/>
        </w:tabs>
        <w:ind w:left="720" w:hanging="72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259A38D3"/>
    <w:multiLevelType w:val="multilevel"/>
    <w:tmpl w:val="15DCEBE0"/>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29A00AB7"/>
    <w:multiLevelType w:val="multilevel"/>
    <w:tmpl w:val="3A4E1350"/>
    <w:lvl w:ilvl="0">
      <w:start w:val="1"/>
      <w:numFmt w:val="bullet"/>
      <w:pStyle w:val="BulletText1"/>
      <w:lvlText w:val=""/>
      <w:lvlJc w:val="left"/>
      <w:pPr>
        <w:tabs>
          <w:tab w:val="num" w:pos="1066"/>
        </w:tabs>
        <w:ind w:left="1066" w:hanging="357"/>
      </w:pPr>
      <w:rPr>
        <w:rFonts w:ascii="Symbol" w:hAnsi="Symbol" w:hint="default"/>
        <w:b w:val="0"/>
        <w:i w:val="0"/>
        <w:caps w:val="0"/>
        <w:strike w:val="0"/>
        <w:dstrike w:val="0"/>
        <w:vanish w:val="0"/>
        <w:color w:val="000000"/>
        <w:sz w:val="22"/>
        <w:szCs w:val="22"/>
        <w:u w:val="none"/>
        <w:effect w:val="none"/>
        <w:vertAlign w:val="baseline"/>
      </w:rPr>
    </w:lvl>
    <w:lvl w:ilvl="1">
      <w:start w:val="1"/>
      <w:numFmt w:val="bullet"/>
      <w:lvlRestart w:val="0"/>
      <w:pStyle w:val="BulletText2"/>
      <w:lvlText w:val="-"/>
      <w:lvlJc w:val="left"/>
      <w:pPr>
        <w:tabs>
          <w:tab w:val="num" w:pos="1429"/>
        </w:tabs>
        <w:ind w:left="1429" w:hanging="363"/>
      </w:pPr>
      <w:rPr>
        <w:rFonts w:ascii="Times New Roman" w:hAnsi="Times New Roman" w:cs="Times New Roman" w:hint="default"/>
      </w:rPr>
    </w:lvl>
    <w:lvl w:ilvl="2">
      <w:start w:val="1"/>
      <w:numFmt w:val="decimal"/>
      <w:lvlText w:val="%1.%2.%3."/>
      <w:lvlJc w:val="left"/>
      <w:pPr>
        <w:tabs>
          <w:tab w:val="num" w:pos="2869"/>
        </w:tabs>
        <w:ind w:left="1933" w:hanging="504"/>
      </w:pPr>
      <w:rPr>
        <w:rFonts w:hint="default"/>
      </w:rPr>
    </w:lvl>
    <w:lvl w:ilvl="3">
      <w:start w:val="1"/>
      <w:numFmt w:val="decimal"/>
      <w:lvlText w:val="%1.%2.%3.%4."/>
      <w:lvlJc w:val="left"/>
      <w:pPr>
        <w:tabs>
          <w:tab w:val="num" w:pos="3589"/>
        </w:tabs>
        <w:ind w:left="2437" w:hanging="648"/>
      </w:pPr>
      <w:rPr>
        <w:rFonts w:hint="default"/>
      </w:rPr>
    </w:lvl>
    <w:lvl w:ilvl="4">
      <w:start w:val="1"/>
      <w:numFmt w:val="decimal"/>
      <w:lvlText w:val="%1.%2.%3.%4.%5."/>
      <w:lvlJc w:val="left"/>
      <w:pPr>
        <w:tabs>
          <w:tab w:val="num" w:pos="4309"/>
        </w:tabs>
        <w:ind w:left="2941" w:hanging="792"/>
      </w:pPr>
      <w:rPr>
        <w:rFonts w:hint="default"/>
      </w:rPr>
    </w:lvl>
    <w:lvl w:ilvl="5">
      <w:start w:val="1"/>
      <w:numFmt w:val="decimal"/>
      <w:lvlText w:val="%1.%2.%3.%4.%5.%6."/>
      <w:lvlJc w:val="left"/>
      <w:pPr>
        <w:tabs>
          <w:tab w:val="num" w:pos="5029"/>
        </w:tabs>
        <w:ind w:left="3445" w:hanging="936"/>
      </w:pPr>
      <w:rPr>
        <w:rFonts w:hint="default"/>
      </w:rPr>
    </w:lvl>
    <w:lvl w:ilvl="6">
      <w:start w:val="1"/>
      <w:numFmt w:val="decimal"/>
      <w:lvlText w:val="%1.%2.%3.%4.%5.%6.%7."/>
      <w:lvlJc w:val="left"/>
      <w:pPr>
        <w:tabs>
          <w:tab w:val="num" w:pos="6109"/>
        </w:tabs>
        <w:ind w:left="3949" w:hanging="1080"/>
      </w:pPr>
      <w:rPr>
        <w:rFonts w:hint="default"/>
      </w:rPr>
    </w:lvl>
    <w:lvl w:ilvl="7">
      <w:start w:val="1"/>
      <w:numFmt w:val="decimal"/>
      <w:lvlText w:val="%1.%2.%3.%4.%5.%6.%7.%8."/>
      <w:lvlJc w:val="left"/>
      <w:pPr>
        <w:tabs>
          <w:tab w:val="num" w:pos="6829"/>
        </w:tabs>
        <w:ind w:left="4453" w:hanging="1224"/>
      </w:pPr>
      <w:rPr>
        <w:rFonts w:hint="default"/>
      </w:rPr>
    </w:lvl>
    <w:lvl w:ilvl="8">
      <w:start w:val="1"/>
      <w:numFmt w:val="decimal"/>
      <w:lvlText w:val="%1.%2.%3.%4.%5.%6.%7.%8.%9."/>
      <w:lvlJc w:val="left"/>
      <w:pPr>
        <w:tabs>
          <w:tab w:val="num" w:pos="7549"/>
        </w:tabs>
        <w:ind w:left="5029" w:hanging="1440"/>
      </w:pPr>
      <w:rPr>
        <w:rFonts w:hint="default"/>
      </w:rPr>
    </w:lvl>
  </w:abstractNum>
  <w:abstractNum w:abstractNumId="19">
    <w:nsid w:val="2DD320B1"/>
    <w:multiLevelType w:val="multilevel"/>
    <w:tmpl w:val="3A4E1350"/>
    <w:lvl w:ilvl="0">
      <w:start w:val="1"/>
      <w:numFmt w:val="bullet"/>
      <w:lvlText w:val=""/>
      <w:lvlJc w:val="left"/>
      <w:pPr>
        <w:tabs>
          <w:tab w:val="num" w:pos="357"/>
        </w:tabs>
        <w:ind w:left="357" w:hanging="357"/>
      </w:pPr>
      <w:rPr>
        <w:rFonts w:ascii="Symbol" w:hAnsi="Symbol" w:hint="default"/>
        <w:b w:val="0"/>
        <w:i w:val="0"/>
        <w:caps w:val="0"/>
        <w:strike w:val="0"/>
        <w:dstrike w:val="0"/>
        <w:vanish w:val="0"/>
        <w:color w:val="000000"/>
        <w:sz w:val="22"/>
        <w:szCs w:val="22"/>
        <w:u w:val="none"/>
        <w:effect w:val="none"/>
        <w:vertAlign w:val="baseline"/>
      </w:rPr>
    </w:lvl>
    <w:lvl w:ilvl="1">
      <w:start w:val="1"/>
      <w:numFmt w:val="bullet"/>
      <w:lvlRestart w:val="0"/>
      <w:lvlText w:val="-"/>
      <w:lvlJc w:val="left"/>
      <w:pPr>
        <w:tabs>
          <w:tab w:val="num" w:pos="720"/>
        </w:tabs>
        <w:ind w:left="720" w:hanging="363"/>
      </w:pPr>
      <w:rPr>
        <w:rFonts w:ascii="Times New Roman" w:hAnsi="Times New Roman" w:cs="Times New Roman"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327C735E"/>
    <w:multiLevelType w:val="hybridMultilevel"/>
    <w:tmpl w:val="5F384FC8"/>
    <w:lvl w:ilvl="0" w:tplc="572A457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55415B4"/>
    <w:multiLevelType w:val="multilevel"/>
    <w:tmpl w:val="D5BE78D4"/>
    <w:lvl w:ilvl="0">
      <w:start w:val="1"/>
      <w:numFmt w:val="decimal"/>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465F77FE"/>
    <w:multiLevelType w:val="hybridMultilevel"/>
    <w:tmpl w:val="52CE181E"/>
    <w:lvl w:ilvl="0" w:tplc="84F8BC04">
      <w:numFmt w:val="bullet"/>
      <w:lvlText w:val="-"/>
      <w:lvlJc w:val="left"/>
      <w:pPr>
        <w:tabs>
          <w:tab w:val="num" w:pos="357"/>
        </w:tabs>
        <w:ind w:left="720"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4E1813"/>
    <w:multiLevelType w:val="hybridMultilevel"/>
    <w:tmpl w:val="E1783C82"/>
    <w:lvl w:ilvl="0" w:tplc="9A0668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2264B1"/>
    <w:multiLevelType w:val="multilevel"/>
    <w:tmpl w:val="99D4F620"/>
    <w:lvl w:ilvl="0">
      <w:start w:val="1"/>
      <w:numFmt w:val="bullet"/>
      <w:lvlRestart w:val="0"/>
      <w:lvlText w:val=""/>
      <w:lvlJc w:val="left"/>
      <w:pPr>
        <w:tabs>
          <w:tab w:val="num" w:pos="357"/>
        </w:tabs>
        <w:ind w:left="720" w:hanging="363"/>
      </w:pPr>
      <w:rPr>
        <w:rFonts w:ascii="Symbol" w:hAnsi="Symbol" w:hint="default"/>
        <w:b w:val="0"/>
        <w:i w:val="0"/>
        <w:caps w:val="0"/>
        <w:strike w:val="0"/>
        <w:dstrike w:val="0"/>
        <w:vanish w:val="0"/>
        <w:color w:val="000000"/>
        <w:sz w:val="22"/>
        <w:szCs w:val="22"/>
        <w:u w:val="none"/>
        <w:effect w:val="none"/>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BE56172"/>
    <w:multiLevelType w:val="multilevel"/>
    <w:tmpl w:val="1160DAC6"/>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nsid w:val="4EFF5430"/>
    <w:multiLevelType w:val="multilevel"/>
    <w:tmpl w:val="B46C445A"/>
    <w:lvl w:ilvl="0">
      <w:start w:val="1"/>
      <w:numFmt w:val="bullet"/>
      <w:lvlRestart w:val="0"/>
      <w:lvlText w:val="-"/>
      <w:lvlJc w:val="left"/>
      <w:pPr>
        <w:tabs>
          <w:tab w:val="num" w:pos="0"/>
        </w:tabs>
        <w:ind w:left="357" w:firstLine="0"/>
      </w:pPr>
      <w:rPr>
        <w:rFonts w:ascii="Times New Roman" w:hAnsi="Times New Roman" w:cs="Times New Roman" w:hint="default"/>
        <w:b w:val="0"/>
        <w:i w:val="0"/>
        <w:caps w:val="0"/>
        <w:strike w:val="0"/>
        <w:dstrike w:val="0"/>
        <w:vanish w:val="0"/>
        <w:color w:val="000000"/>
        <w:sz w:val="22"/>
        <w:szCs w:val="22"/>
        <w:u w:val="none"/>
        <w:effect w:val="none"/>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FA372F6"/>
    <w:multiLevelType w:val="hybridMultilevel"/>
    <w:tmpl w:val="1F72A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C151C0"/>
    <w:multiLevelType w:val="multilevel"/>
    <w:tmpl w:val="1B526264"/>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570641D3"/>
    <w:multiLevelType w:val="hybridMultilevel"/>
    <w:tmpl w:val="FAB0EFDA"/>
    <w:lvl w:ilvl="0" w:tplc="DAA46FC0">
      <w:numFmt w:val="bullet"/>
      <w:lvlText w:val=""/>
      <w:lvlJc w:val="left"/>
      <w:pPr>
        <w:tabs>
          <w:tab w:val="num" w:pos="780"/>
        </w:tabs>
        <w:ind w:left="780" w:hanging="360"/>
      </w:pPr>
      <w:rPr>
        <w:rFonts w:ascii="Symbol" w:eastAsia="Times New Roman"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30">
    <w:nsid w:val="5BF04B63"/>
    <w:multiLevelType w:val="hybridMultilevel"/>
    <w:tmpl w:val="A72A8470"/>
    <w:name w:val="Headings2"/>
    <w:lvl w:ilvl="0" w:tplc="393AE02C">
      <w:start w:val="1"/>
      <w:numFmt w:val="bullet"/>
      <w:lvlRestart w:val="0"/>
      <w:lvlText w:val="-"/>
      <w:lvlJc w:val="left"/>
      <w:pPr>
        <w:tabs>
          <w:tab w:val="num" w:pos="0"/>
        </w:tabs>
        <w:ind w:left="357" w:firstLine="0"/>
      </w:pPr>
      <w:rPr>
        <w:rFonts w:ascii="Times New Roman" w:hAnsi="Times New Roman" w:cs="Times New Roman" w:hint="default"/>
        <w:b w:val="0"/>
        <w:i w:val="0"/>
        <w:caps w:val="0"/>
        <w:strike w:val="0"/>
        <w:dstrike w:val="0"/>
        <w:vanish w:val="0"/>
        <w:color w:val="000000"/>
        <w:sz w:val="22"/>
        <w:szCs w:val="22"/>
        <w:u w:val="none"/>
        <w:effect w:val="none"/>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3E0BAC"/>
    <w:multiLevelType w:val="multilevel"/>
    <w:tmpl w:val="CDA607D2"/>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nsid w:val="622571C2"/>
    <w:multiLevelType w:val="hybridMultilevel"/>
    <w:tmpl w:val="790AD214"/>
    <w:lvl w:ilvl="0" w:tplc="572A4574">
      <w:start w:val="1"/>
      <w:numFmt w:val="bullet"/>
      <w:lvlText w:val=""/>
      <w:lvlJc w:val="left"/>
      <w:pPr>
        <w:tabs>
          <w:tab w:val="num" w:pos="1069"/>
        </w:tabs>
        <w:ind w:left="1069" w:hanging="360"/>
      </w:pPr>
      <w:rPr>
        <w:rFonts w:ascii="Symbol" w:hAnsi="Symbol" w:hint="default"/>
        <w:color w:val="auto"/>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3">
    <w:nsid w:val="63267031"/>
    <w:multiLevelType w:val="hybridMultilevel"/>
    <w:tmpl w:val="CCF2F7B8"/>
    <w:lvl w:ilvl="0" w:tplc="4EA8EAD6">
      <w:start w:val="1"/>
      <w:numFmt w:val="decimal"/>
      <w:lvlText w:val="%1."/>
      <w:lvlJc w:val="left"/>
      <w:pPr>
        <w:tabs>
          <w:tab w:val="num" w:pos="720"/>
        </w:tabs>
        <w:ind w:left="720" w:hanging="720"/>
      </w:pPr>
      <w:rPr>
        <w:rFonts w:ascii="Times New Roman Bold" w:hAnsi="Times New Roman Bold" w:hint="default"/>
        <w:b/>
        <w:i w:val="0"/>
        <w:color w:val="0000FF"/>
        <w:sz w:val="2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ED46F6"/>
    <w:multiLevelType w:val="multilevel"/>
    <w:tmpl w:val="D5BE78D4"/>
    <w:lvl w:ilvl="0">
      <w:start w:val="1"/>
      <w:numFmt w:val="decimal"/>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nsid w:val="7C371799"/>
    <w:multiLevelType w:val="hybridMultilevel"/>
    <w:tmpl w:val="A9C0B0AA"/>
    <w:lvl w:ilvl="0" w:tplc="04090001">
      <w:start w:val="1"/>
      <w:numFmt w:val="bullet"/>
      <w:lvlText w:val=""/>
      <w:lvlJc w:val="left"/>
      <w:pPr>
        <w:tabs>
          <w:tab w:val="num" w:pos="720"/>
        </w:tabs>
        <w:ind w:left="720" w:hanging="360"/>
      </w:pPr>
      <w:rPr>
        <w:rFonts w:ascii="Symbol" w:hAnsi="Symbol" w:hint="default"/>
      </w:rPr>
    </w:lvl>
    <w:lvl w:ilvl="1" w:tplc="D5CEC31E">
      <w:start w:val="1"/>
      <w:numFmt w:val="bullet"/>
      <w:lvlText w:val=""/>
      <w:lvlJc w:val="left"/>
      <w:pPr>
        <w:tabs>
          <w:tab w:val="num" w:pos="1211"/>
        </w:tabs>
        <w:ind w:left="1100" w:hanging="249"/>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32409C"/>
    <w:multiLevelType w:val="multilevel"/>
    <w:tmpl w:val="572E0DCC"/>
    <w:name w:val="Headings"/>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10"/>
  </w:num>
  <w:num w:numId="2">
    <w:abstractNumId w:val="10"/>
  </w:num>
  <w:num w:numId="3">
    <w:abstractNumId w:val="10"/>
  </w:num>
  <w:num w:numId="4">
    <w:abstractNumId w:val="23"/>
  </w:num>
  <w:num w:numId="5">
    <w:abstractNumId w:val="35"/>
  </w:num>
  <w:num w:numId="6">
    <w:abstractNumId w:val="12"/>
  </w:num>
  <w:num w:numId="7">
    <w:abstractNumId w:val="13"/>
  </w:num>
  <w:num w:numId="8">
    <w:abstractNumId w:val="36"/>
  </w:num>
  <w:num w:numId="9">
    <w:abstractNumId w:val="18"/>
  </w:num>
  <w:num w:numId="10">
    <w:abstractNumId w:val="10"/>
  </w:num>
  <w:num w:numId="11">
    <w:abstractNumId w:val="33"/>
  </w:num>
  <w:num w:numId="12">
    <w:abstractNumId w:val="27"/>
  </w:num>
  <w:num w:numId="13">
    <w:abstractNumId w:val="14"/>
  </w:num>
  <w:num w:numId="14">
    <w:abstractNumId w:val="11"/>
    <w:lvlOverride w:ilvl="0">
      <w:lvl w:ilvl="0">
        <w:start w:val="1"/>
        <w:numFmt w:val="bullet"/>
        <w:lvlText w:val=""/>
        <w:legacy w:legacy="1" w:legacySpace="0" w:legacyIndent="283"/>
        <w:lvlJc w:val="left"/>
        <w:pPr>
          <w:ind w:left="584" w:hanging="283"/>
        </w:pPr>
        <w:rPr>
          <w:rFonts w:ascii="Courier" w:hAnsi="Courier" w:hint="default"/>
        </w:rPr>
      </w:lvl>
    </w:lvlOverride>
  </w:num>
  <w:num w:numId="15">
    <w:abstractNumId w:val="22"/>
  </w:num>
  <w:num w:numId="16">
    <w:abstractNumId w:val="24"/>
  </w:num>
  <w:num w:numId="17">
    <w:abstractNumId w:val="21"/>
  </w:num>
  <w:num w:numId="18">
    <w:abstractNumId w:val="34"/>
  </w:num>
  <w:num w:numId="19">
    <w:abstractNumId w:val="31"/>
  </w:num>
  <w:num w:numId="20">
    <w:abstractNumId w:val="28"/>
  </w:num>
  <w:num w:numId="21">
    <w:abstractNumId w:val="26"/>
  </w:num>
  <w:num w:numId="22">
    <w:abstractNumId w:val="16"/>
  </w:num>
  <w:num w:numId="23">
    <w:abstractNumId w:val="1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7"/>
  </w:num>
  <w:num w:numId="36">
    <w:abstractNumId w:val="30"/>
  </w:num>
  <w:num w:numId="37">
    <w:abstractNumId w:val="29"/>
  </w:num>
  <w:num w:numId="38">
    <w:abstractNumId w:val="32"/>
  </w:num>
  <w:num w:numId="39">
    <w:abstractNumId w:val="20"/>
  </w:num>
  <w:num w:numId="40">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28674"/>
  </w:hdrShapeDefaults>
  <w:footnotePr>
    <w:footnote w:id="-1"/>
    <w:footnote w:id="0"/>
  </w:footnotePr>
  <w:endnotePr>
    <w:endnote w:id="-1"/>
    <w:endnote w:id="0"/>
  </w:endnotePr>
  <w:compat/>
  <w:rsids>
    <w:rsidRoot w:val="008006EB"/>
    <w:rsid w:val="00010BF0"/>
    <w:rsid w:val="00025315"/>
    <w:rsid w:val="000348C9"/>
    <w:rsid w:val="00034985"/>
    <w:rsid w:val="00042FCA"/>
    <w:rsid w:val="000469CD"/>
    <w:rsid w:val="000561BC"/>
    <w:rsid w:val="000635C6"/>
    <w:rsid w:val="00066713"/>
    <w:rsid w:val="000735A0"/>
    <w:rsid w:val="000917FF"/>
    <w:rsid w:val="00094B04"/>
    <w:rsid w:val="000B1896"/>
    <w:rsid w:val="000C6C7E"/>
    <w:rsid w:val="000D6F4C"/>
    <w:rsid w:val="000F7A84"/>
    <w:rsid w:val="001107D2"/>
    <w:rsid w:val="00115D48"/>
    <w:rsid w:val="0012280B"/>
    <w:rsid w:val="001331D9"/>
    <w:rsid w:val="0014000A"/>
    <w:rsid w:val="00140BDD"/>
    <w:rsid w:val="00147102"/>
    <w:rsid w:val="00156C6B"/>
    <w:rsid w:val="00162264"/>
    <w:rsid w:val="00170B77"/>
    <w:rsid w:val="001771A0"/>
    <w:rsid w:val="00177ACF"/>
    <w:rsid w:val="001C752B"/>
    <w:rsid w:val="001D7450"/>
    <w:rsid w:val="00217807"/>
    <w:rsid w:val="002252DC"/>
    <w:rsid w:val="002541AE"/>
    <w:rsid w:val="002648D6"/>
    <w:rsid w:val="002762F5"/>
    <w:rsid w:val="002802DE"/>
    <w:rsid w:val="00295CE0"/>
    <w:rsid w:val="002A5B17"/>
    <w:rsid w:val="002C3C30"/>
    <w:rsid w:val="002F6C66"/>
    <w:rsid w:val="00302DDC"/>
    <w:rsid w:val="003108B8"/>
    <w:rsid w:val="00325A06"/>
    <w:rsid w:val="003577D4"/>
    <w:rsid w:val="003751D5"/>
    <w:rsid w:val="003A135B"/>
    <w:rsid w:val="003C5055"/>
    <w:rsid w:val="003D2E3C"/>
    <w:rsid w:val="003F0EDC"/>
    <w:rsid w:val="003F4070"/>
    <w:rsid w:val="0040428F"/>
    <w:rsid w:val="00407FA8"/>
    <w:rsid w:val="0046280D"/>
    <w:rsid w:val="00480FF3"/>
    <w:rsid w:val="00493910"/>
    <w:rsid w:val="004948F5"/>
    <w:rsid w:val="004A0CA4"/>
    <w:rsid w:val="004B3C09"/>
    <w:rsid w:val="004C3965"/>
    <w:rsid w:val="004F4B39"/>
    <w:rsid w:val="004F61D8"/>
    <w:rsid w:val="0050566D"/>
    <w:rsid w:val="00507DA4"/>
    <w:rsid w:val="00514468"/>
    <w:rsid w:val="0052116A"/>
    <w:rsid w:val="0053248D"/>
    <w:rsid w:val="00533E22"/>
    <w:rsid w:val="00581788"/>
    <w:rsid w:val="005A0736"/>
    <w:rsid w:val="005B6315"/>
    <w:rsid w:val="005B7816"/>
    <w:rsid w:val="005F3526"/>
    <w:rsid w:val="00600D16"/>
    <w:rsid w:val="00615E67"/>
    <w:rsid w:val="006323E9"/>
    <w:rsid w:val="0067052B"/>
    <w:rsid w:val="006803B2"/>
    <w:rsid w:val="00684A77"/>
    <w:rsid w:val="00692430"/>
    <w:rsid w:val="00692EFF"/>
    <w:rsid w:val="006A172E"/>
    <w:rsid w:val="006A2F90"/>
    <w:rsid w:val="006B42C6"/>
    <w:rsid w:val="006C2892"/>
    <w:rsid w:val="006D0A1E"/>
    <w:rsid w:val="006D35B2"/>
    <w:rsid w:val="006D53A3"/>
    <w:rsid w:val="00711AA9"/>
    <w:rsid w:val="007268D8"/>
    <w:rsid w:val="00741EF3"/>
    <w:rsid w:val="007521BA"/>
    <w:rsid w:val="00755170"/>
    <w:rsid w:val="00756710"/>
    <w:rsid w:val="00780D3C"/>
    <w:rsid w:val="00796796"/>
    <w:rsid w:val="007C3EE1"/>
    <w:rsid w:val="007C68CF"/>
    <w:rsid w:val="007F18D2"/>
    <w:rsid w:val="008006EB"/>
    <w:rsid w:val="00801E41"/>
    <w:rsid w:val="008116C2"/>
    <w:rsid w:val="00815AC4"/>
    <w:rsid w:val="00820A24"/>
    <w:rsid w:val="0084216D"/>
    <w:rsid w:val="008613CF"/>
    <w:rsid w:val="00881EBA"/>
    <w:rsid w:val="008876FB"/>
    <w:rsid w:val="008C1BB2"/>
    <w:rsid w:val="008D5109"/>
    <w:rsid w:val="008E3043"/>
    <w:rsid w:val="008F494F"/>
    <w:rsid w:val="008F599A"/>
    <w:rsid w:val="008F69B5"/>
    <w:rsid w:val="008F759E"/>
    <w:rsid w:val="009122F0"/>
    <w:rsid w:val="009303D7"/>
    <w:rsid w:val="00951201"/>
    <w:rsid w:val="00956C9C"/>
    <w:rsid w:val="009701F3"/>
    <w:rsid w:val="00973F13"/>
    <w:rsid w:val="009920CA"/>
    <w:rsid w:val="009A3267"/>
    <w:rsid w:val="009B0997"/>
    <w:rsid w:val="009B1D81"/>
    <w:rsid w:val="009C3499"/>
    <w:rsid w:val="009D03C6"/>
    <w:rsid w:val="009D5C7F"/>
    <w:rsid w:val="009E4930"/>
    <w:rsid w:val="009F10F1"/>
    <w:rsid w:val="009F3927"/>
    <w:rsid w:val="00A13891"/>
    <w:rsid w:val="00A13D0D"/>
    <w:rsid w:val="00A31BD9"/>
    <w:rsid w:val="00A418AE"/>
    <w:rsid w:val="00A41B1C"/>
    <w:rsid w:val="00A54309"/>
    <w:rsid w:val="00A5526E"/>
    <w:rsid w:val="00A569EB"/>
    <w:rsid w:val="00A620D7"/>
    <w:rsid w:val="00A660BF"/>
    <w:rsid w:val="00A90C70"/>
    <w:rsid w:val="00AB254A"/>
    <w:rsid w:val="00AC0B3B"/>
    <w:rsid w:val="00AC1D87"/>
    <w:rsid w:val="00AD5D90"/>
    <w:rsid w:val="00B21CFB"/>
    <w:rsid w:val="00B34FC2"/>
    <w:rsid w:val="00B43561"/>
    <w:rsid w:val="00B50151"/>
    <w:rsid w:val="00B52AF4"/>
    <w:rsid w:val="00B81B90"/>
    <w:rsid w:val="00B8365A"/>
    <w:rsid w:val="00B919B4"/>
    <w:rsid w:val="00B941C4"/>
    <w:rsid w:val="00B9676C"/>
    <w:rsid w:val="00BA34DA"/>
    <w:rsid w:val="00BD04C1"/>
    <w:rsid w:val="00BD0E42"/>
    <w:rsid w:val="00C12EF7"/>
    <w:rsid w:val="00C1612A"/>
    <w:rsid w:val="00C2309A"/>
    <w:rsid w:val="00C23AA3"/>
    <w:rsid w:val="00C43173"/>
    <w:rsid w:val="00C47EAD"/>
    <w:rsid w:val="00C807C9"/>
    <w:rsid w:val="00C8347F"/>
    <w:rsid w:val="00CA5C44"/>
    <w:rsid w:val="00CB3782"/>
    <w:rsid w:val="00CB4C8E"/>
    <w:rsid w:val="00CD426B"/>
    <w:rsid w:val="00D05F20"/>
    <w:rsid w:val="00D161BC"/>
    <w:rsid w:val="00D25A5E"/>
    <w:rsid w:val="00D31924"/>
    <w:rsid w:val="00D346AC"/>
    <w:rsid w:val="00D57F01"/>
    <w:rsid w:val="00D614D3"/>
    <w:rsid w:val="00D634A5"/>
    <w:rsid w:val="00D8182D"/>
    <w:rsid w:val="00D82D26"/>
    <w:rsid w:val="00D9325F"/>
    <w:rsid w:val="00DB199E"/>
    <w:rsid w:val="00DB5D57"/>
    <w:rsid w:val="00DC211E"/>
    <w:rsid w:val="00DE1681"/>
    <w:rsid w:val="00E510C1"/>
    <w:rsid w:val="00E60FE6"/>
    <w:rsid w:val="00E706A1"/>
    <w:rsid w:val="00E95155"/>
    <w:rsid w:val="00EB0491"/>
    <w:rsid w:val="00EB21AD"/>
    <w:rsid w:val="00EB7FA2"/>
    <w:rsid w:val="00EC18A2"/>
    <w:rsid w:val="00EC2966"/>
    <w:rsid w:val="00EF0654"/>
    <w:rsid w:val="00EF2C65"/>
    <w:rsid w:val="00EF3570"/>
    <w:rsid w:val="00EF5B7F"/>
    <w:rsid w:val="00F21975"/>
    <w:rsid w:val="00F22394"/>
    <w:rsid w:val="00F43709"/>
    <w:rsid w:val="00F440A8"/>
    <w:rsid w:val="00F5098D"/>
    <w:rsid w:val="00F53CCF"/>
    <w:rsid w:val="00F66C7A"/>
    <w:rsid w:val="00F70CC0"/>
    <w:rsid w:val="00F860B5"/>
    <w:rsid w:val="00F87007"/>
    <w:rsid w:val="00F94E9A"/>
    <w:rsid w:val="00FA46E3"/>
    <w:rsid w:val="00FA7154"/>
    <w:rsid w:val="00FB602F"/>
    <w:rsid w:val="00FC4A88"/>
    <w:rsid w:val="00FE71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D57"/>
    <w:pPr>
      <w:overflowPunct w:val="0"/>
      <w:autoSpaceDE w:val="0"/>
      <w:autoSpaceDN w:val="0"/>
      <w:adjustRightInd w:val="0"/>
      <w:jc w:val="both"/>
      <w:textAlignment w:val="baseline"/>
    </w:pPr>
    <w:rPr>
      <w:rFonts w:ascii="Arial" w:hAnsi="Arial"/>
      <w:szCs w:val="24"/>
      <w:lang w:eastAsia="en-US"/>
    </w:rPr>
  </w:style>
  <w:style w:type="paragraph" w:styleId="Heading1">
    <w:name w:val="heading 1"/>
    <w:basedOn w:val="Numberlevel1"/>
    <w:next w:val="BodyTextFirstIndent"/>
    <w:qFormat/>
    <w:rsid w:val="00D82D26"/>
    <w:pPr>
      <w:outlineLvl w:val="0"/>
    </w:pPr>
    <w:rPr>
      <w:b/>
    </w:rPr>
  </w:style>
  <w:style w:type="paragraph" w:styleId="Heading2">
    <w:name w:val="heading 2"/>
    <w:basedOn w:val="Numberlevel2"/>
    <w:next w:val="BodyTextFirstIndent"/>
    <w:qFormat/>
    <w:rsid w:val="00D82D26"/>
    <w:pPr>
      <w:keepNext/>
      <w:outlineLvl w:val="1"/>
    </w:pPr>
    <w:rPr>
      <w:rFonts w:cs="Arial"/>
      <w:bCs/>
      <w:iCs/>
      <w:szCs w:val="28"/>
      <w:u w:val="single"/>
    </w:rPr>
  </w:style>
  <w:style w:type="paragraph" w:styleId="Heading3">
    <w:name w:val="heading 3"/>
    <w:basedOn w:val="Normal"/>
    <w:next w:val="Normal"/>
    <w:qFormat/>
    <w:rsid w:val="00F440A8"/>
    <w:pPr>
      <w:spacing w:before="240"/>
      <w:outlineLvl w:val="2"/>
    </w:pPr>
    <w:rPr>
      <w:rFonts w:ascii="CG Times" w:hAnsi="CG Times"/>
    </w:rPr>
  </w:style>
  <w:style w:type="paragraph" w:styleId="Heading4">
    <w:name w:val="heading 4"/>
    <w:basedOn w:val="Normal"/>
    <w:next w:val="Normal"/>
    <w:qFormat/>
    <w:rsid w:val="00F440A8"/>
    <w:pPr>
      <w:keepNext/>
      <w:spacing w:before="240" w:after="60" w:line="360" w:lineRule="auto"/>
      <w:outlineLvl w:val="3"/>
    </w:pPr>
  </w:style>
  <w:style w:type="paragraph" w:styleId="Heading5">
    <w:name w:val="heading 5"/>
    <w:basedOn w:val="Normal"/>
    <w:next w:val="Normal"/>
    <w:qFormat/>
    <w:rsid w:val="00F440A8"/>
    <w:pPr>
      <w:spacing w:before="240" w:after="60"/>
      <w:outlineLvl w:val="4"/>
    </w:pPr>
  </w:style>
  <w:style w:type="paragraph" w:styleId="Heading6">
    <w:name w:val="heading 6"/>
    <w:basedOn w:val="Normal"/>
    <w:next w:val="Normal"/>
    <w:qFormat/>
    <w:rsid w:val="00F440A8"/>
    <w:pPr>
      <w:spacing w:before="240" w:after="60"/>
      <w:outlineLvl w:val="5"/>
    </w:pPr>
    <w:rPr>
      <w:rFonts w:ascii="Times New Roman Bold" w:hAnsi="Times New Roman Bold"/>
      <w:b/>
    </w:rPr>
  </w:style>
  <w:style w:type="paragraph" w:styleId="Heading7">
    <w:name w:val="heading 7"/>
    <w:basedOn w:val="Normal"/>
    <w:next w:val="Normal"/>
    <w:qFormat/>
    <w:rsid w:val="00F440A8"/>
    <w:pPr>
      <w:spacing w:before="240" w:after="60"/>
      <w:outlineLvl w:val="6"/>
    </w:pPr>
  </w:style>
  <w:style w:type="paragraph" w:styleId="Heading8">
    <w:name w:val="heading 8"/>
    <w:basedOn w:val="Normal"/>
    <w:next w:val="Normal"/>
    <w:qFormat/>
    <w:rsid w:val="00F440A8"/>
    <w:pPr>
      <w:spacing w:before="240" w:after="60"/>
      <w:outlineLvl w:val="7"/>
    </w:pPr>
  </w:style>
  <w:style w:type="paragraph" w:styleId="Heading9">
    <w:name w:val="heading 9"/>
    <w:basedOn w:val="Normal"/>
    <w:next w:val="Normal"/>
    <w:qFormat/>
    <w:rsid w:val="00F440A8"/>
    <w:pPr>
      <w:spacing w:before="240" w:after="60"/>
      <w:outlineLvl w:val="8"/>
    </w:pPr>
    <w:rPr>
      <w:rFonts w:ascii="Times New Roman Bold" w:hAnsi="Times New Roman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7052B"/>
    <w:rPr>
      <w:rFonts w:cs="Arial"/>
      <w:b/>
      <w:sz w:val="32"/>
      <w:szCs w:val="20"/>
    </w:rPr>
  </w:style>
  <w:style w:type="paragraph" w:styleId="EnvelopeAddress">
    <w:name w:val="envelope address"/>
    <w:basedOn w:val="Normal"/>
    <w:rsid w:val="00F70CC0"/>
    <w:pPr>
      <w:framePr w:w="7920" w:wrap="auto" w:hAnchor="text" w:xAlign="center" w:yAlign="bottom"/>
      <w:ind w:left="2880"/>
    </w:pPr>
    <w:rPr>
      <w:rFonts w:cs="Arial"/>
    </w:rPr>
  </w:style>
  <w:style w:type="paragraph" w:customStyle="1" w:styleId="text">
    <w:name w:val="text"/>
    <w:basedOn w:val="Normal"/>
    <w:link w:val="textChar"/>
    <w:rsid w:val="0067052B"/>
    <w:pPr>
      <w:spacing w:before="240" w:line="300" w:lineRule="auto"/>
    </w:pPr>
  </w:style>
  <w:style w:type="paragraph" w:customStyle="1" w:styleId="LetterHeading">
    <w:name w:val="LetterHeading"/>
    <w:basedOn w:val="Normal"/>
    <w:rsid w:val="00F860B5"/>
    <w:pPr>
      <w:spacing w:before="240" w:line="300" w:lineRule="auto"/>
    </w:pPr>
    <w:rPr>
      <w:b/>
      <w:u w:val="single"/>
    </w:rPr>
  </w:style>
  <w:style w:type="paragraph" w:customStyle="1" w:styleId="BodyTextSecondIndent">
    <w:name w:val="Body Text Second Indent"/>
    <w:basedOn w:val="BodyTextFirstIndent"/>
    <w:rsid w:val="007268D8"/>
    <w:pPr>
      <w:ind w:left="1440"/>
    </w:pPr>
  </w:style>
  <w:style w:type="paragraph" w:customStyle="1" w:styleId="addressblock">
    <w:name w:val="addressblock"/>
    <w:basedOn w:val="Normal"/>
    <w:rsid w:val="003A135B"/>
    <w:pPr>
      <w:jc w:val="left"/>
    </w:pPr>
    <w:rPr>
      <w:color w:val="000000"/>
    </w:rPr>
  </w:style>
  <w:style w:type="character" w:styleId="PageNumber">
    <w:name w:val="page number"/>
    <w:rsid w:val="0067052B"/>
    <w:rPr>
      <w:rFonts w:ascii="Arial" w:hAnsi="Arial"/>
      <w:sz w:val="20"/>
    </w:rPr>
  </w:style>
  <w:style w:type="paragraph" w:customStyle="1" w:styleId="signoff">
    <w:name w:val="signoff"/>
    <w:basedOn w:val="Normal"/>
    <w:rsid w:val="003A135B"/>
  </w:style>
  <w:style w:type="paragraph" w:customStyle="1" w:styleId="BodyTextThirdIndent">
    <w:name w:val="Body Text Third Indent"/>
    <w:basedOn w:val="BodyTextSecondIndent"/>
    <w:rsid w:val="007268D8"/>
    <w:pPr>
      <w:ind w:left="2104"/>
    </w:pPr>
  </w:style>
  <w:style w:type="paragraph" w:customStyle="1" w:styleId="BulletText1">
    <w:name w:val="Bullet Text 1"/>
    <w:basedOn w:val="text"/>
    <w:rsid w:val="00F860B5"/>
    <w:pPr>
      <w:numPr>
        <w:numId w:val="9"/>
      </w:numPr>
      <w:tabs>
        <w:tab w:val="clear" w:pos="1066"/>
        <w:tab w:val="left" w:pos="720"/>
        <w:tab w:val="left" w:pos="1077"/>
        <w:tab w:val="left" w:pos="1440"/>
      </w:tabs>
    </w:pPr>
  </w:style>
  <w:style w:type="paragraph" w:customStyle="1" w:styleId="answer">
    <w:name w:val="answer"/>
    <w:basedOn w:val="text"/>
    <w:rsid w:val="00D57F01"/>
    <w:pPr>
      <w:tabs>
        <w:tab w:val="left" w:pos="1344"/>
      </w:tabs>
      <w:spacing w:before="0" w:after="120"/>
      <w:ind w:left="1050" w:hanging="330"/>
    </w:pPr>
    <w:rPr>
      <w:color w:val="3366FF"/>
    </w:rPr>
  </w:style>
  <w:style w:type="paragraph" w:customStyle="1" w:styleId="BulletText2">
    <w:name w:val="Bullet Text 2"/>
    <w:basedOn w:val="text"/>
    <w:rsid w:val="00F860B5"/>
    <w:pPr>
      <w:numPr>
        <w:ilvl w:val="1"/>
        <w:numId w:val="9"/>
      </w:numPr>
      <w:spacing w:before="120"/>
      <w:outlineLvl w:val="1"/>
    </w:pPr>
    <w:rPr>
      <w:sz w:val="22"/>
    </w:rPr>
  </w:style>
  <w:style w:type="paragraph" w:customStyle="1" w:styleId="Numberlevel1">
    <w:name w:val="Numberlevel1"/>
    <w:basedOn w:val="Normal"/>
    <w:rsid w:val="00755170"/>
    <w:pPr>
      <w:tabs>
        <w:tab w:val="num" w:pos="720"/>
      </w:tabs>
      <w:spacing w:before="240" w:line="300" w:lineRule="auto"/>
      <w:ind w:left="720" w:hanging="720"/>
    </w:pPr>
  </w:style>
  <w:style w:type="paragraph" w:styleId="Footer">
    <w:name w:val="footer"/>
    <w:basedOn w:val="Normal"/>
    <w:rsid w:val="00D57F01"/>
    <w:pPr>
      <w:tabs>
        <w:tab w:val="center" w:pos="4153"/>
        <w:tab w:val="right" w:pos="8306"/>
      </w:tabs>
    </w:pPr>
  </w:style>
  <w:style w:type="paragraph" w:customStyle="1" w:styleId="TableHeading">
    <w:name w:val="Table Heading"/>
    <w:basedOn w:val="text"/>
    <w:rsid w:val="000348C9"/>
    <w:pPr>
      <w:spacing w:before="120" w:after="120" w:line="240" w:lineRule="auto"/>
      <w:jc w:val="center"/>
    </w:pPr>
    <w:rPr>
      <w:b/>
    </w:rPr>
  </w:style>
  <w:style w:type="paragraph" w:styleId="TOC1">
    <w:name w:val="toc 1"/>
    <w:basedOn w:val="Normal"/>
    <w:next w:val="Normal"/>
    <w:semiHidden/>
    <w:rsid w:val="00CB4C8E"/>
    <w:pPr>
      <w:tabs>
        <w:tab w:val="left" w:pos="480"/>
        <w:tab w:val="right" w:pos="9771"/>
      </w:tabs>
      <w:spacing w:after="120"/>
    </w:pPr>
    <w:rPr>
      <w:rFonts w:ascii="Times New Roman Bold" w:hAnsi="Times New Roman Bold"/>
      <w:b/>
      <w:sz w:val="28"/>
      <w:szCs w:val="20"/>
    </w:rPr>
  </w:style>
  <w:style w:type="paragraph" w:customStyle="1" w:styleId="Footerref">
    <w:name w:val="Footerref"/>
    <w:basedOn w:val="text"/>
    <w:rsid w:val="000735A0"/>
    <w:pPr>
      <w:spacing w:before="0"/>
      <w:jc w:val="left"/>
    </w:pPr>
    <w:rPr>
      <w:bCs/>
      <w:i/>
      <w:color w:val="000000"/>
      <w:sz w:val="16"/>
    </w:rPr>
  </w:style>
  <w:style w:type="paragraph" w:customStyle="1" w:styleId="SideHeading">
    <w:name w:val="Side Heading"/>
    <w:basedOn w:val="Normal"/>
    <w:next w:val="text"/>
    <w:rsid w:val="00170B77"/>
    <w:pPr>
      <w:keepNext/>
      <w:spacing w:before="240"/>
    </w:pPr>
    <w:rPr>
      <w:b/>
    </w:rPr>
  </w:style>
  <w:style w:type="paragraph" w:styleId="Header">
    <w:name w:val="header"/>
    <w:basedOn w:val="Normal"/>
    <w:rsid w:val="000C6C7E"/>
    <w:pPr>
      <w:tabs>
        <w:tab w:val="center" w:pos="4320"/>
        <w:tab w:val="right" w:pos="8640"/>
      </w:tabs>
    </w:pPr>
  </w:style>
  <w:style w:type="character" w:styleId="Hyperlink">
    <w:name w:val="Hyperlink"/>
    <w:rsid w:val="00CB4C8E"/>
    <w:rPr>
      <w:rFonts w:ascii="Times New Roman" w:hAnsi="Times New Roman"/>
      <w:b/>
      <w:color w:val="0000FF"/>
      <w:sz w:val="28"/>
      <w:u w:val="none"/>
    </w:rPr>
  </w:style>
  <w:style w:type="table" w:styleId="TableGrid">
    <w:name w:val="Table Grid"/>
    <w:basedOn w:val="TableNormal"/>
    <w:rsid w:val="00F70CC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level2">
    <w:name w:val="Numberlevel2"/>
    <w:basedOn w:val="Numberlevel1"/>
    <w:rsid w:val="00755170"/>
    <w:pPr>
      <w:numPr>
        <w:ilvl w:val="1"/>
      </w:numPr>
      <w:tabs>
        <w:tab w:val="num" w:pos="720"/>
      </w:tabs>
      <w:ind w:left="720" w:hanging="720"/>
    </w:pPr>
  </w:style>
  <w:style w:type="paragraph" w:customStyle="1" w:styleId="Numberlevel3">
    <w:name w:val="Numberlevel3"/>
    <w:basedOn w:val="Numberlevel2"/>
    <w:rsid w:val="00755170"/>
    <w:pPr>
      <w:numPr>
        <w:ilvl w:val="2"/>
      </w:numPr>
      <w:tabs>
        <w:tab w:val="num" w:pos="720"/>
      </w:tabs>
      <w:ind w:left="720" w:hanging="720"/>
    </w:pPr>
  </w:style>
  <w:style w:type="paragraph" w:styleId="BodyTextFirstIndent">
    <w:name w:val="Body Text First Indent"/>
    <w:basedOn w:val="text"/>
    <w:rsid w:val="007268D8"/>
    <w:pPr>
      <w:ind w:left="720"/>
    </w:pPr>
  </w:style>
  <w:style w:type="paragraph" w:customStyle="1" w:styleId="TableText">
    <w:name w:val="Table Text"/>
    <w:basedOn w:val="text"/>
    <w:rsid w:val="00CB3782"/>
    <w:pPr>
      <w:spacing w:before="60" w:after="60" w:line="240" w:lineRule="auto"/>
    </w:pPr>
  </w:style>
  <w:style w:type="paragraph" w:styleId="BalloonText">
    <w:name w:val="Balloon Text"/>
    <w:basedOn w:val="Normal"/>
    <w:link w:val="BalloonTextChar"/>
    <w:rsid w:val="0046280D"/>
    <w:rPr>
      <w:rFonts w:ascii="Segoe UI" w:hAnsi="Segoe UI" w:cs="Segoe UI"/>
      <w:sz w:val="18"/>
      <w:szCs w:val="18"/>
    </w:rPr>
  </w:style>
  <w:style w:type="character" w:customStyle="1" w:styleId="BalloonTextChar">
    <w:name w:val="Balloon Text Char"/>
    <w:basedOn w:val="DefaultParagraphFont"/>
    <w:link w:val="BalloonText"/>
    <w:rsid w:val="0046280D"/>
    <w:rPr>
      <w:rFonts w:ascii="Segoe UI" w:hAnsi="Segoe UI" w:cs="Segoe UI"/>
      <w:sz w:val="18"/>
      <w:szCs w:val="18"/>
      <w:lang w:eastAsia="en-US"/>
    </w:rPr>
  </w:style>
  <w:style w:type="character" w:customStyle="1" w:styleId="textChar">
    <w:name w:val="text Char"/>
    <w:basedOn w:val="DefaultParagraphFont"/>
    <w:link w:val="text"/>
    <w:rsid w:val="003F0EDC"/>
    <w:rPr>
      <w:rFonts w:ascii="Arial" w:hAnsi="Arial"/>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1ADE-E0BB-49C2-BEBE-BE31F3A0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10 December 2007</vt:lpstr>
    </vt:vector>
  </TitlesOfParts>
  <Company>BWCI Group</Company>
  <LinksUpToDate>false</LinksUpToDate>
  <CharactersWithSpaces>25085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December 2007</dc:title>
  <dc:creator>Julie Diamond</dc:creator>
  <cp:lastModifiedBy>powell</cp:lastModifiedBy>
  <cp:revision>4</cp:revision>
  <cp:lastPrinted>2014-12-12T16:18:00Z</cp:lastPrinted>
  <dcterms:created xsi:type="dcterms:W3CDTF">2015-03-25T16:28:00Z</dcterms:created>
  <dcterms:modified xsi:type="dcterms:W3CDTF">2015-03-26T12:45:00Z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Ref">
    <vt:lpwstr>DES/pao/C1199198.1</vt:lpwstr>
  </property>
  <property fmtid="{D5CDD505-2E9C-101B-9397-08002B2CF9AE}" pid="3" name="dmDocNum">
    <vt:lpwstr>CL1741992.1</vt:lpwstr>
  </property>
  <property fmtid="{D5CDD505-2E9C-101B-9397-08002B2CF9AE}" pid="4" name="dmFullName">
    <vt:lpwstr> </vt:lpwstr>
  </property>
  <property fmtid="{D5CDD505-2E9C-101B-9397-08002B2CF9AE}" pid="5" name="dmDate">
    <vt:lpwstr> </vt:lpwstr>
  </property>
  <property fmtid="{D5CDD505-2E9C-101B-9397-08002B2CF9AE}" pid="6" name="dmDocDate">
    <vt:lpwstr>4 January 2012</vt:lpwstr>
  </property>
  <property fmtid="{D5CDD505-2E9C-101B-9397-08002B2CF9AE}" pid="7" name="dmPhone">
    <vt:lpwstr> </vt:lpwstr>
  </property>
  <property fmtid="{D5CDD505-2E9C-101B-9397-08002B2CF9AE}" pid="8" name="dmFax">
    <vt:lpwstr> </vt:lpwstr>
  </property>
  <property fmtid="{D5CDD505-2E9C-101B-9397-08002B2CF9AE}" pid="9" name="dmEmail">
    <vt:lpwstr> </vt:lpwstr>
  </property>
  <property fmtid="{D5CDD505-2E9C-101B-9397-08002B2CF9AE}" pid="10" name="dmSignedBy">
    <vt:lpwstr>Diana Simon</vt:lpwstr>
  </property>
  <property fmtid="{D5CDD505-2E9C-101B-9397-08002B2CF9AE}" pid="11" name="dmTitle">
    <vt:lpwstr> </vt:lpwstr>
  </property>
  <property fmtid="{D5CDD505-2E9C-101B-9397-08002B2CF9AE}" pid="12" name="dmCompTitle">
    <vt:lpwstr> </vt:lpwstr>
  </property>
  <property fmtid="{D5CDD505-2E9C-101B-9397-08002B2CF9AE}" pid="13" name="dmClientName">
    <vt:lpwstr> </vt:lpwstr>
  </property>
  <property fmtid="{D5CDD505-2E9C-101B-9397-08002B2CF9AE}" pid="14" name="dmMatterNo">
    <vt:lpwstr> </vt:lpwstr>
  </property>
  <property fmtid="{D5CDD505-2E9C-101B-9397-08002B2CF9AE}" pid="15" name="dmMatterDesc">
    <vt:lpwstr> </vt:lpwstr>
  </property>
  <property fmtid="{D5CDD505-2E9C-101B-9397-08002B2CF9AE}" pid="16" name="dmTo">
    <vt:lpwstr> </vt:lpwstr>
  </property>
  <property fmtid="{D5CDD505-2E9C-101B-9397-08002B2CF9AE}" pid="17" name="dmVersion">
    <vt:i4>1</vt:i4>
  </property>
  <property fmtid="{D5CDD505-2E9C-101B-9397-08002B2CF9AE}" pid="18" name="dmDocRef1">
    <vt:lpwstr>DES</vt:lpwstr>
  </property>
  <property fmtid="{D5CDD505-2E9C-101B-9397-08002B2CF9AE}" pid="19" name="dmDocRef2">
    <vt:lpwstr>/pao</vt:lpwstr>
  </property>
  <property fmtid="{D5CDD505-2E9C-101B-9397-08002B2CF9AE}" pid="20" name="dmDocRef3">
    <vt:lpwstr>/C1199198.1</vt:lpwstr>
  </property>
  <property fmtid="{D5CDD505-2E9C-101B-9397-08002B2CF9AE}" pid="21" name="dmAddinVersion">
    <vt:lpwstr>2.02</vt:lpwstr>
  </property>
  <property fmtid="{D5CDD505-2E9C-101B-9397-08002B2CF9AE}" pid="22" name="dmDatabasePrefix">
    <vt:lpwstr>CL</vt:lpwstr>
  </property>
  <property fmtid="{D5CDD505-2E9C-101B-9397-08002B2CF9AE}" pid="23" name="dmCustom21">
    <vt:lpwstr>1 January 0001</vt:lpwstr>
  </property>
  <property fmtid="{D5CDD505-2E9C-101B-9397-08002B2CF9AE}" pid="24" name="dmCustom1Alias">
    <vt:lpwstr>365</vt:lpwstr>
  </property>
  <property fmtid="{D5CDD505-2E9C-101B-9397-08002B2CF9AE}" pid="25" name="dmCustom1Description">
    <vt:lpwstr>Methodist Lay Employees - BWCL</vt:lpwstr>
  </property>
  <property fmtid="{D5CDD505-2E9C-101B-9397-08002B2CF9AE}" pid="26" name="dmCustom2Alias">
    <vt:lpwstr>34654</vt:lpwstr>
  </property>
  <property fmtid="{D5CDD505-2E9C-101B-9397-08002B2CF9AE}" pid="27" name="dmCustom2Description">
    <vt:lpwstr>2014 September 1 Formal Valuation</vt:lpwstr>
  </property>
  <property fmtid="{D5CDD505-2E9C-101B-9397-08002B2CF9AE}" pid="28" name="dmCustom3Alias">
    <vt:lpwstr>BWCL</vt:lpwstr>
  </property>
  <property fmtid="{D5CDD505-2E9C-101B-9397-08002B2CF9AE}" pid="29" name="dmCustom3Description">
    <vt:lpwstr>BWCI Consulting Limited</vt:lpwstr>
  </property>
  <property fmtid="{D5CDD505-2E9C-101B-9397-08002B2CF9AE}" pid="30" name="dmAuthorPhone">
    <vt:lpwstr>1820</vt:lpwstr>
  </property>
  <property fmtid="{D5CDD505-2E9C-101B-9397-08002B2CF9AE}" pid="31" name="dmAuthorExtension">
    <vt:lpwstr>DES</vt:lpwstr>
  </property>
  <property fmtid="{D5CDD505-2E9C-101B-9397-08002B2CF9AE}" pid="32" name="dmAuthorFax">
    <vt:lpwstr/>
  </property>
  <property fmtid="{D5CDD505-2E9C-101B-9397-08002B2CF9AE}" pid="33" name="dmAuthorEmail">
    <vt:lpwstr>dsimon@bwcigroup.com</vt:lpwstr>
  </property>
  <property fmtid="{D5CDD505-2E9C-101B-9397-08002B2CF9AE}" pid="34" name="dmAuthorSignedBy">
    <vt:lpwstr>Diana Simon</vt:lpwstr>
  </property>
  <property fmtid="{D5CDD505-2E9C-101B-9397-08002B2CF9AE}" pid="35" name="dmAuthorTitle">
    <vt:lpwstr>Diana Simon</vt:lpwstr>
  </property>
  <property fmtid="{D5CDD505-2E9C-101B-9397-08002B2CF9AE}" pid="36" name="dmAuthorFullName">
    <vt:lpwstr>Diana Simon</vt:lpwstr>
  </property>
  <property fmtid="{D5CDD505-2E9C-101B-9397-08002B2CF9AE}" pid="37" name="dmOperatorPhone">
    <vt:lpwstr>1816</vt:lpwstr>
  </property>
  <property fmtid="{D5CDD505-2E9C-101B-9397-08002B2CF9AE}" pid="38" name="dmOperatorExtension">
    <vt:lpwstr>CAB</vt:lpwstr>
  </property>
  <property fmtid="{D5CDD505-2E9C-101B-9397-08002B2CF9AE}" pid="39" name="dmOperatorFax">
    <vt:lpwstr/>
  </property>
  <property fmtid="{D5CDD505-2E9C-101B-9397-08002B2CF9AE}" pid="40" name="dmOperatorEmail">
    <vt:lpwstr>cblackmore@bwcigroup.com</vt:lpwstr>
  </property>
  <property fmtid="{D5CDD505-2E9C-101B-9397-08002B2CF9AE}" pid="41" name="dmOperatorSignedBy">
    <vt:lpwstr>Carla Blackmore</vt:lpwstr>
  </property>
  <property fmtid="{D5CDD505-2E9C-101B-9397-08002B2CF9AE}" pid="42" name="dmOperatorTitle">
    <vt:lpwstr>Diana Simon</vt:lpwstr>
  </property>
  <property fmtid="{D5CDD505-2E9C-101B-9397-08002B2CF9AE}" pid="43" name="dmOperatorFullName">
    <vt:lpwstr>Carla Blackmore</vt:lpwstr>
  </property>
</Properties>
</file>