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F" w:rsidRPr="00D602F1" w:rsidRDefault="00C70C25" w:rsidP="00D602F1">
      <w:pPr>
        <w:spacing w:after="120"/>
        <w:rPr>
          <w:b/>
          <w:sz w:val="36"/>
        </w:rPr>
      </w:pPr>
      <w:r w:rsidRPr="00D602F1">
        <w:rPr>
          <w:b/>
          <w:sz w:val="36"/>
        </w:rPr>
        <w:t>Local Sabbatical Support Group Checklist</w:t>
      </w:r>
    </w:p>
    <w:p w:rsidR="00C70C25" w:rsidRPr="00B73C72" w:rsidRDefault="00C70C25" w:rsidP="00D602F1">
      <w:pPr>
        <w:spacing w:after="480"/>
        <w:rPr>
          <w:i/>
        </w:rPr>
      </w:pPr>
      <w:r w:rsidRPr="00B73C72">
        <w:rPr>
          <w:i/>
        </w:rPr>
        <w:t xml:space="preserve">Experience has shown that it’s worth </w:t>
      </w:r>
      <w:r w:rsidR="00D2604D" w:rsidRPr="00B73C72">
        <w:rPr>
          <w:i/>
        </w:rPr>
        <w:t>paying attention to</w:t>
      </w:r>
      <w:r w:rsidRPr="00B73C72">
        <w:rPr>
          <w:i/>
        </w:rPr>
        <w:t xml:space="preserve"> details</w:t>
      </w:r>
      <w:r w:rsidR="00D2604D" w:rsidRPr="00B73C72">
        <w:rPr>
          <w:i/>
        </w:rPr>
        <w:t xml:space="preserve"> such as these: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40"/>
        <w:gridCol w:w="502"/>
      </w:tblGrid>
      <w:tr w:rsidR="00C70C25" w:rsidTr="008546BD">
        <w:tc>
          <w:tcPr>
            <w:tcW w:w="9242" w:type="dxa"/>
            <w:gridSpan w:val="2"/>
          </w:tcPr>
          <w:p w:rsidR="00C70C25" w:rsidRPr="00B73C72" w:rsidRDefault="00C70C25" w:rsidP="00872550">
            <w:pPr>
              <w:spacing w:before="40" w:after="40"/>
              <w:rPr>
                <w:b/>
              </w:rPr>
            </w:pPr>
            <w:r w:rsidRPr="00B73C72">
              <w:rPr>
                <w:b/>
                <w:sz w:val="24"/>
              </w:rPr>
              <w:t>Sabbatical start and finish dates</w:t>
            </w:r>
          </w:p>
        </w:tc>
      </w:tr>
      <w:tr w:rsidR="00C70C25" w:rsidTr="008546BD">
        <w:tc>
          <w:tcPr>
            <w:tcW w:w="8740" w:type="dxa"/>
          </w:tcPr>
          <w:p w:rsidR="00C70C25" w:rsidRDefault="00C70C25" w:rsidP="00872550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>Have the dates of the sabbatical been agreed between the minister, circuit and Sabbaticals Advisory Group?</w:t>
            </w:r>
          </w:p>
        </w:tc>
        <w:tc>
          <w:tcPr>
            <w:tcW w:w="502" w:type="dxa"/>
          </w:tcPr>
          <w:p w:rsidR="00C70C25" w:rsidRDefault="00C70C25" w:rsidP="00872550">
            <w:pPr>
              <w:spacing w:before="40" w:after="40"/>
            </w:pPr>
            <w:r w:rsidRPr="00C70C25">
              <w:rPr>
                <w:sz w:val="32"/>
              </w:rPr>
              <w:sym w:font="Wingdings" w:char="F06F"/>
            </w:r>
          </w:p>
        </w:tc>
      </w:tr>
      <w:tr w:rsidR="00C70C25" w:rsidTr="008546BD">
        <w:tc>
          <w:tcPr>
            <w:tcW w:w="9242" w:type="dxa"/>
            <w:gridSpan w:val="2"/>
          </w:tcPr>
          <w:p w:rsidR="00C70C25" w:rsidRPr="00B73C72" w:rsidRDefault="00C70C25" w:rsidP="00872550">
            <w:pPr>
              <w:spacing w:before="120" w:after="40"/>
              <w:rPr>
                <w:b/>
              </w:rPr>
            </w:pPr>
            <w:r w:rsidRPr="00B73C72">
              <w:rPr>
                <w:b/>
                <w:sz w:val="24"/>
              </w:rPr>
              <w:t>Cover in the circuit</w:t>
            </w:r>
          </w:p>
        </w:tc>
      </w:tr>
      <w:tr w:rsidR="00C70C25" w:rsidTr="008546BD">
        <w:tc>
          <w:tcPr>
            <w:tcW w:w="8740" w:type="dxa"/>
          </w:tcPr>
          <w:p w:rsidR="008546BD" w:rsidRDefault="008546BD" w:rsidP="008546BD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 w:rsidRPr="008546BD">
              <w:t>Has the Local Preachers’ Meeting been consulted to identify additional cover for preaching appointment</w:t>
            </w:r>
            <w:r>
              <w:t>s</w:t>
            </w:r>
            <w:r w:rsidRPr="008546BD">
              <w:t xml:space="preserve"> and support for occasional offices?</w:t>
            </w:r>
          </w:p>
        </w:tc>
        <w:tc>
          <w:tcPr>
            <w:tcW w:w="502" w:type="dxa"/>
          </w:tcPr>
          <w:p w:rsidR="00C70C25" w:rsidRDefault="00C70C25" w:rsidP="00872550">
            <w:pPr>
              <w:spacing w:before="40" w:after="40"/>
            </w:pPr>
            <w:r w:rsidRPr="00C70C25">
              <w:rPr>
                <w:sz w:val="32"/>
              </w:rPr>
              <w:sym w:font="Wingdings" w:char="F06F"/>
            </w:r>
          </w:p>
        </w:tc>
      </w:tr>
      <w:tr w:rsidR="008546BD" w:rsidTr="008546BD">
        <w:tc>
          <w:tcPr>
            <w:tcW w:w="8740" w:type="dxa"/>
          </w:tcPr>
          <w:p w:rsidR="008546BD" w:rsidRDefault="008546BD" w:rsidP="008546BD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 w:rsidRPr="008546BD">
              <w:t>Does the circuit need to approach preachers from elsewhere in the District/ Connexion or from other denominations to provide additional cover for preaching appointments and/or support for occasional offices?</w:t>
            </w:r>
          </w:p>
        </w:tc>
        <w:tc>
          <w:tcPr>
            <w:tcW w:w="502" w:type="dxa"/>
          </w:tcPr>
          <w:p w:rsidR="008546BD" w:rsidRPr="00C70C25" w:rsidRDefault="008546BD" w:rsidP="00872550">
            <w:pPr>
              <w:spacing w:before="40" w:after="40"/>
              <w:rPr>
                <w:sz w:val="32"/>
              </w:rPr>
            </w:pPr>
            <w:r w:rsidRPr="00C70C25">
              <w:rPr>
                <w:sz w:val="32"/>
              </w:rPr>
              <w:sym w:font="Wingdings" w:char="F06F"/>
            </w:r>
          </w:p>
        </w:tc>
      </w:tr>
      <w:tr w:rsidR="000B49F8" w:rsidTr="008546BD">
        <w:tc>
          <w:tcPr>
            <w:tcW w:w="8740" w:type="dxa"/>
          </w:tcPr>
          <w:p w:rsidR="000B49F8" w:rsidRDefault="000B49F8" w:rsidP="00D602F1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Who </w:t>
            </w:r>
            <w:r w:rsidR="00D602F1">
              <w:t>will be</w:t>
            </w:r>
            <w:r>
              <w:t xml:space="preserve"> the contact point for pastoral emergencies</w:t>
            </w:r>
            <w:r w:rsidR="00D602F1">
              <w:t xml:space="preserve"> during the sabbatical</w:t>
            </w:r>
            <w:r>
              <w:t>?</w:t>
            </w:r>
          </w:p>
        </w:tc>
        <w:tc>
          <w:tcPr>
            <w:tcW w:w="502" w:type="dxa"/>
          </w:tcPr>
          <w:p w:rsidR="000B49F8" w:rsidRPr="00C70C25" w:rsidRDefault="000B49F8" w:rsidP="00872550">
            <w:pPr>
              <w:spacing w:before="40" w:after="40"/>
              <w:rPr>
                <w:sz w:val="32"/>
              </w:rPr>
            </w:pPr>
            <w:r w:rsidRPr="00C70C25">
              <w:rPr>
                <w:sz w:val="32"/>
              </w:rPr>
              <w:sym w:font="Wingdings" w:char="F06F"/>
            </w:r>
          </w:p>
        </w:tc>
      </w:tr>
      <w:tr w:rsidR="00C70C25" w:rsidTr="008546BD">
        <w:tc>
          <w:tcPr>
            <w:tcW w:w="8740" w:type="dxa"/>
          </w:tcPr>
          <w:p w:rsidR="00C70C25" w:rsidRDefault="008B34AA" w:rsidP="00872550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Is cover in place for local church meetings and events?</w:t>
            </w:r>
          </w:p>
        </w:tc>
        <w:tc>
          <w:tcPr>
            <w:tcW w:w="502" w:type="dxa"/>
          </w:tcPr>
          <w:p w:rsidR="00C70C25" w:rsidRDefault="00C70C25" w:rsidP="00872550">
            <w:pPr>
              <w:spacing w:before="40" w:after="40"/>
            </w:pPr>
            <w:r w:rsidRPr="00C70C25">
              <w:rPr>
                <w:sz w:val="32"/>
              </w:rPr>
              <w:sym w:font="Wingdings" w:char="F06F"/>
            </w:r>
          </w:p>
        </w:tc>
        <w:bookmarkStart w:id="0" w:name="_GoBack"/>
        <w:bookmarkEnd w:id="0"/>
      </w:tr>
      <w:tr w:rsidR="00C70C25" w:rsidTr="008546BD">
        <w:tc>
          <w:tcPr>
            <w:tcW w:w="8740" w:type="dxa"/>
          </w:tcPr>
          <w:p w:rsidR="00C70C25" w:rsidRDefault="008B34AA" w:rsidP="00872550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Is cover in place for contacts with groups (church-based, ecumenical, and community-based)? </w:t>
            </w:r>
          </w:p>
        </w:tc>
        <w:tc>
          <w:tcPr>
            <w:tcW w:w="502" w:type="dxa"/>
          </w:tcPr>
          <w:p w:rsidR="00C70C25" w:rsidRDefault="00C70C25" w:rsidP="00872550">
            <w:pPr>
              <w:spacing w:before="40" w:after="40"/>
            </w:pPr>
            <w:r w:rsidRPr="00C70C25">
              <w:rPr>
                <w:sz w:val="32"/>
              </w:rPr>
              <w:sym w:font="Wingdings" w:char="F06F"/>
            </w:r>
          </w:p>
        </w:tc>
      </w:tr>
      <w:tr w:rsidR="00C70C25" w:rsidTr="008546BD">
        <w:tc>
          <w:tcPr>
            <w:tcW w:w="8740" w:type="dxa"/>
          </w:tcPr>
          <w:p w:rsidR="00C70C25" w:rsidRDefault="008B34AA" w:rsidP="00872550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Is cover in place for local community involvement (</w:t>
            </w:r>
            <w:proofErr w:type="spellStart"/>
            <w:r>
              <w:t>eg</w:t>
            </w:r>
            <w:proofErr w:type="spellEnd"/>
            <w:r>
              <w:t>, taking school assemblies)?</w:t>
            </w:r>
          </w:p>
        </w:tc>
        <w:tc>
          <w:tcPr>
            <w:tcW w:w="502" w:type="dxa"/>
          </w:tcPr>
          <w:p w:rsidR="00C70C25" w:rsidRDefault="00C70C25" w:rsidP="00872550">
            <w:pPr>
              <w:spacing w:before="40" w:after="40"/>
            </w:pPr>
            <w:r w:rsidRPr="00C70C25">
              <w:rPr>
                <w:sz w:val="32"/>
              </w:rPr>
              <w:sym w:font="Wingdings" w:char="F06F"/>
            </w:r>
          </w:p>
        </w:tc>
      </w:tr>
      <w:tr w:rsidR="00C70C25" w:rsidTr="008546BD">
        <w:tc>
          <w:tcPr>
            <w:tcW w:w="8740" w:type="dxa"/>
          </w:tcPr>
          <w:p w:rsidR="00C70C25" w:rsidRDefault="00CD4C3C" w:rsidP="00872550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What arrangements are needed to deal with the minister’s incoming mail and emails during the sabbatical, differentiating between work-related and personal items?</w:t>
            </w:r>
          </w:p>
        </w:tc>
        <w:tc>
          <w:tcPr>
            <w:tcW w:w="502" w:type="dxa"/>
          </w:tcPr>
          <w:p w:rsidR="00C70C25" w:rsidRDefault="00C70C25" w:rsidP="00872550">
            <w:pPr>
              <w:spacing w:before="40" w:after="40"/>
            </w:pPr>
            <w:r w:rsidRPr="00C70C25">
              <w:rPr>
                <w:sz w:val="32"/>
              </w:rPr>
              <w:sym w:font="Wingdings" w:char="F06F"/>
            </w:r>
          </w:p>
        </w:tc>
      </w:tr>
      <w:tr w:rsidR="00C70C25" w:rsidTr="008546BD">
        <w:tc>
          <w:tcPr>
            <w:tcW w:w="8740" w:type="dxa"/>
          </w:tcPr>
          <w:p w:rsidR="00C70C25" w:rsidRDefault="00816607" w:rsidP="00872550">
            <w:pPr>
              <w:pStyle w:val="ListParagraph"/>
              <w:numPr>
                <w:ilvl w:val="0"/>
                <w:numId w:val="1"/>
              </w:numPr>
              <w:tabs>
                <w:tab w:val="left" w:pos="1771"/>
              </w:tabs>
              <w:spacing w:before="40" w:after="40"/>
            </w:pPr>
            <w:r>
              <w:t>How are voicemail/ answerphone messages to be managed?</w:t>
            </w:r>
          </w:p>
        </w:tc>
        <w:tc>
          <w:tcPr>
            <w:tcW w:w="502" w:type="dxa"/>
          </w:tcPr>
          <w:p w:rsidR="00C70C25" w:rsidRDefault="00B73C72" w:rsidP="00872550">
            <w:pPr>
              <w:spacing w:before="40" w:after="40"/>
            </w:pPr>
            <w:r w:rsidRPr="00C70C25">
              <w:rPr>
                <w:sz w:val="32"/>
              </w:rPr>
              <w:sym w:font="Wingdings" w:char="F06F"/>
            </w:r>
          </w:p>
        </w:tc>
      </w:tr>
      <w:tr w:rsidR="00C70C25" w:rsidTr="008546BD">
        <w:tc>
          <w:tcPr>
            <w:tcW w:w="8740" w:type="dxa"/>
          </w:tcPr>
          <w:p w:rsidR="00C70C25" w:rsidRDefault="00816607" w:rsidP="00872550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Have funeral directors been informed that the minister will be unavailable for three months?</w:t>
            </w:r>
          </w:p>
        </w:tc>
        <w:tc>
          <w:tcPr>
            <w:tcW w:w="502" w:type="dxa"/>
          </w:tcPr>
          <w:p w:rsidR="00C70C25" w:rsidRDefault="00B73C72" w:rsidP="00872550">
            <w:pPr>
              <w:spacing w:before="40" w:after="40"/>
            </w:pPr>
            <w:r w:rsidRPr="00C70C25">
              <w:rPr>
                <w:sz w:val="32"/>
              </w:rPr>
              <w:sym w:font="Wingdings" w:char="F06F"/>
            </w:r>
          </w:p>
        </w:tc>
      </w:tr>
      <w:tr w:rsidR="00816607" w:rsidTr="008546BD">
        <w:tc>
          <w:tcPr>
            <w:tcW w:w="9242" w:type="dxa"/>
            <w:gridSpan w:val="2"/>
          </w:tcPr>
          <w:p w:rsidR="00816607" w:rsidRPr="00B73C72" w:rsidRDefault="00816607" w:rsidP="00872550">
            <w:pPr>
              <w:spacing w:before="120" w:after="40"/>
              <w:rPr>
                <w:b/>
              </w:rPr>
            </w:pPr>
            <w:r w:rsidRPr="00B73C72">
              <w:rPr>
                <w:b/>
                <w:sz w:val="24"/>
              </w:rPr>
              <w:t>Pastoral &amp; practical support</w:t>
            </w:r>
          </w:p>
        </w:tc>
      </w:tr>
      <w:tr w:rsidR="00C70C25" w:rsidTr="008546BD">
        <w:tc>
          <w:tcPr>
            <w:tcW w:w="8740" w:type="dxa"/>
          </w:tcPr>
          <w:p w:rsidR="00C70C25" w:rsidRDefault="00816607" w:rsidP="00872550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What pastoral and practical support might the minister’s family (if applicable) need during the sabbatical?</w:t>
            </w:r>
          </w:p>
        </w:tc>
        <w:tc>
          <w:tcPr>
            <w:tcW w:w="502" w:type="dxa"/>
          </w:tcPr>
          <w:p w:rsidR="00C70C25" w:rsidRDefault="00B73C72" w:rsidP="00872550">
            <w:pPr>
              <w:spacing w:before="40" w:after="40"/>
            </w:pPr>
            <w:r w:rsidRPr="00C70C25">
              <w:rPr>
                <w:sz w:val="32"/>
              </w:rPr>
              <w:sym w:font="Wingdings" w:char="F06F"/>
            </w:r>
          </w:p>
        </w:tc>
      </w:tr>
      <w:tr w:rsidR="00C85C4E" w:rsidTr="008546BD">
        <w:tc>
          <w:tcPr>
            <w:tcW w:w="8740" w:type="dxa"/>
          </w:tcPr>
          <w:p w:rsidR="00C85C4E" w:rsidRDefault="00C85C4E" w:rsidP="00D602F1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If the minister faces a substantial personal pastoral issue that will </w:t>
            </w:r>
            <w:r w:rsidR="00D602F1">
              <w:t>occupy</w:t>
            </w:r>
            <w:r w:rsidR="00B73C72">
              <w:t xml:space="preserve"> the majority of their sabbatical, s</w:t>
            </w:r>
            <w:r>
              <w:t>hould a case be made for transmuting the sabbatical into a period of compassionate leave?</w:t>
            </w:r>
          </w:p>
        </w:tc>
        <w:tc>
          <w:tcPr>
            <w:tcW w:w="502" w:type="dxa"/>
          </w:tcPr>
          <w:p w:rsidR="00C85C4E" w:rsidRDefault="00B73C72" w:rsidP="00872550">
            <w:pPr>
              <w:spacing w:before="40" w:after="40"/>
            </w:pPr>
            <w:r w:rsidRPr="00C70C25">
              <w:rPr>
                <w:sz w:val="32"/>
              </w:rPr>
              <w:sym w:font="Wingdings" w:char="F06F"/>
            </w:r>
          </w:p>
        </w:tc>
      </w:tr>
      <w:tr w:rsidR="00816607" w:rsidTr="008546BD">
        <w:tc>
          <w:tcPr>
            <w:tcW w:w="9242" w:type="dxa"/>
            <w:gridSpan w:val="2"/>
          </w:tcPr>
          <w:p w:rsidR="00816607" w:rsidRPr="00B73C72" w:rsidRDefault="00816607" w:rsidP="00872550">
            <w:pPr>
              <w:spacing w:before="120" w:after="40"/>
              <w:rPr>
                <w:b/>
              </w:rPr>
            </w:pPr>
            <w:r w:rsidRPr="00B73C72">
              <w:rPr>
                <w:b/>
                <w:sz w:val="24"/>
              </w:rPr>
              <w:t>Practical matters</w:t>
            </w:r>
          </w:p>
        </w:tc>
      </w:tr>
      <w:tr w:rsidR="00C70C25" w:rsidTr="008546BD">
        <w:tc>
          <w:tcPr>
            <w:tcW w:w="8740" w:type="dxa"/>
          </w:tcPr>
          <w:p w:rsidR="00C70C25" w:rsidRDefault="0042793F" w:rsidP="00872550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If the minister is going to be away from the manse for a prolonged period of time during the sabbatical, and the manse is going to be unoccupied, have they checked with their insurance company whether any additional policy endorsement and/or premium may be required? </w:t>
            </w:r>
          </w:p>
        </w:tc>
        <w:tc>
          <w:tcPr>
            <w:tcW w:w="502" w:type="dxa"/>
          </w:tcPr>
          <w:p w:rsidR="00C70C25" w:rsidRDefault="00B73C72" w:rsidP="00872550">
            <w:pPr>
              <w:spacing w:before="40" w:after="40"/>
            </w:pPr>
            <w:r w:rsidRPr="00C70C25">
              <w:rPr>
                <w:sz w:val="32"/>
              </w:rPr>
              <w:sym w:font="Wingdings" w:char="F06F"/>
            </w:r>
          </w:p>
        </w:tc>
      </w:tr>
      <w:tr w:rsidR="00C70C25" w:rsidTr="008546BD">
        <w:tc>
          <w:tcPr>
            <w:tcW w:w="8740" w:type="dxa"/>
          </w:tcPr>
          <w:p w:rsidR="00C70C25" w:rsidRDefault="0042793F" w:rsidP="00872550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If the minister is going to travel overseas, have necessary visas and immunisations been obtained (in good time)? </w:t>
            </w:r>
          </w:p>
        </w:tc>
        <w:tc>
          <w:tcPr>
            <w:tcW w:w="502" w:type="dxa"/>
          </w:tcPr>
          <w:p w:rsidR="00C70C25" w:rsidRDefault="00B73C72" w:rsidP="00872550">
            <w:pPr>
              <w:spacing w:before="40" w:after="40"/>
            </w:pPr>
            <w:r w:rsidRPr="00C70C25">
              <w:rPr>
                <w:sz w:val="32"/>
              </w:rPr>
              <w:sym w:font="Wingdings" w:char="F06F"/>
            </w:r>
          </w:p>
        </w:tc>
      </w:tr>
      <w:tr w:rsidR="00C70C25" w:rsidTr="008546BD">
        <w:tc>
          <w:tcPr>
            <w:tcW w:w="8740" w:type="dxa"/>
          </w:tcPr>
          <w:p w:rsidR="00C70C25" w:rsidRDefault="0042793F" w:rsidP="00D602F1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If the manse is unoccupied, who will arrange and monitor security? Is there a burglar alarm and, if so, </w:t>
            </w:r>
            <w:r w:rsidR="004B4C2F">
              <w:t>what if access to the manse is needed during the minister’s absence? Who will make regular checks on the manse (</w:t>
            </w:r>
            <w:r w:rsidR="00D602F1">
              <w:t>roughly</w:t>
            </w:r>
            <w:r w:rsidR="004B4C2F">
              <w:t xml:space="preserve"> every week) to check all is well? Who will have keys to the manse? Will a circuit key-holder need to notify anyone prior to entering the manse (if so, who</w:t>
            </w:r>
            <w:r w:rsidR="00D602F1">
              <w:t>m</w:t>
            </w:r>
            <w:r w:rsidR="004B4C2F">
              <w:t>)?</w:t>
            </w:r>
          </w:p>
        </w:tc>
        <w:tc>
          <w:tcPr>
            <w:tcW w:w="502" w:type="dxa"/>
          </w:tcPr>
          <w:p w:rsidR="00C70C25" w:rsidRDefault="00B73C72" w:rsidP="00872550">
            <w:pPr>
              <w:spacing w:before="40" w:after="40"/>
            </w:pPr>
            <w:r w:rsidRPr="00C70C25">
              <w:rPr>
                <w:sz w:val="32"/>
              </w:rPr>
              <w:sym w:font="Wingdings" w:char="F06F"/>
            </w:r>
          </w:p>
        </w:tc>
      </w:tr>
      <w:tr w:rsidR="000B49F8" w:rsidTr="008546BD">
        <w:tc>
          <w:tcPr>
            <w:tcW w:w="8740" w:type="dxa"/>
          </w:tcPr>
          <w:p w:rsidR="000B49F8" w:rsidRDefault="000B49F8" w:rsidP="00872550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lastRenderedPageBreak/>
              <w:t>Who is the contact person, in the case of emergency</w:t>
            </w:r>
            <w:r w:rsidR="00D602F1">
              <w:t xml:space="preserve"> (the minister or someone else)?</w:t>
            </w:r>
          </w:p>
        </w:tc>
        <w:tc>
          <w:tcPr>
            <w:tcW w:w="502" w:type="dxa"/>
          </w:tcPr>
          <w:p w:rsidR="000B49F8" w:rsidRPr="00C70C25" w:rsidRDefault="00D602F1" w:rsidP="00872550">
            <w:pPr>
              <w:spacing w:before="40" w:after="40"/>
              <w:rPr>
                <w:sz w:val="32"/>
              </w:rPr>
            </w:pPr>
            <w:r w:rsidRPr="00C70C25">
              <w:rPr>
                <w:sz w:val="32"/>
              </w:rPr>
              <w:sym w:font="Wingdings" w:char="F06F"/>
            </w:r>
          </w:p>
        </w:tc>
      </w:tr>
      <w:tr w:rsidR="00C70C25" w:rsidTr="008546BD">
        <w:tc>
          <w:tcPr>
            <w:tcW w:w="8740" w:type="dxa"/>
          </w:tcPr>
          <w:p w:rsidR="004B4C2F" w:rsidRDefault="004B4C2F" w:rsidP="00872550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If the manse is unoccupied, will the circuit need to carry out maintenance (</w:t>
            </w:r>
            <w:proofErr w:type="spellStart"/>
            <w:r>
              <w:t>eg</w:t>
            </w:r>
            <w:proofErr w:type="spellEnd"/>
            <w:r>
              <w:t>, gardening, window cleaning)? How will this be organised and paid for?</w:t>
            </w:r>
          </w:p>
        </w:tc>
        <w:tc>
          <w:tcPr>
            <w:tcW w:w="502" w:type="dxa"/>
          </w:tcPr>
          <w:p w:rsidR="00C70C25" w:rsidRDefault="00B73C72" w:rsidP="00872550">
            <w:pPr>
              <w:spacing w:before="40" w:after="40"/>
            </w:pPr>
            <w:r w:rsidRPr="00C70C25">
              <w:rPr>
                <w:sz w:val="32"/>
              </w:rPr>
              <w:sym w:font="Wingdings" w:char="F06F"/>
            </w:r>
          </w:p>
        </w:tc>
      </w:tr>
      <w:tr w:rsidR="004B4C2F" w:rsidTr="008546BD">
        <w:tc>
          <w:tcPr>
            <w:tcW w:w="9242" w:type="dxa"/>
            <w:gridSpan w:val="2"/>
          </w:tcPr>
          <w:p w:rsidR="004B4C2F" w:rsidRPr="00872550" w:rsidRDefault="004B4C2F" w:rsidP="00872550">
            <w:pPr>
              <w:spacing w:before="120" w:after="40"/>
              <w:rPr>
                <w:b/>
              </w:rPr>
            </w:pPr>
            <w:r w:rsidRPr="00872550">
              <w:rPr>
                <w:b/>
                <w:sz w:val="24"/>
              </w:rPr>
              <w:t>Returning from sabbatical</w:t>
            </w:r>
          </w:p>
        </w:tc>
      </w:tr>
      <w:tr w:rsidR="00C70C25" w:rsidTr="008546BD">
        <w:tc>
          <w:tcPr>
            <w:tcW w:w="8740" w:type="dxa"/>
          </w:tcPr>
          <w:p w:rsidR="00C70C25" w:rsidRDefault="004B4C2F" w:rsidP="00872550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Have church stewards been asked to keep a diary of relevant events and changes in people’s personal circumstances, to update the minister when they return?</w:t>
            </w:r>
          </w:p>
        </w:tc>
        <w:tc>
          <w:tcPr>
            <w:tcW w:w="502" w:type="dxa"/>
          </w:tcPr>
          <w:p w:rsidR="00C70C25" w:rsidRDefault="00B73C72" w:rsidP="00872550">
            <w:pPr>
              <w:spacing w:before="40" w:after="40"/>
            </w:pPr>
            <w:r w:rsidRPr="00C70C25">
              <w:rPr>
                <w:sz w:val="32"/>
              </w:rPr>
              <w:sym w:font="Wingdings" w:char="F06F"/>
            </w:r>
          </w:p>
        </w:tc>
      </w:tr>
      <w:tr w:rsidR="00C70C25" w:rsidTr="008546BD">
        <w:tc>
          <w:tcPr>
            <w:tcW w:w="8740" w:type="dxa"/>
          </w:tcPr>
          <w:p w:rsidR="00C70C25" w:rsidRDefault="004B4C2F" w:rsidP="00872550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Will churches and those covering for the minister try to ensure that </w:t>
            </w:r>
            <w:r w:rsidR="00C85C4E">
              <w:t>the minister’s diary is not too pressurised immediately after their return?</w:t>
            </w:r>
          </w:p>
        </w:tc>
        <w:tc>
          <w:tcPr>
            <w:tcW w:w="502" w:type="dxa"/>
          </w:tcPr>
          <w:p w:rsidR="00C70C25" w:rsidRDefault="00B73C72" w:rsidP="00872550">
            <w:pPr>
              <w:spacing w:before="40" w:after="40"/>
            </w:pPr>
            <w:r w:rsidRPr="00C70C25">
              <w:rPr>
                <w:sz w:val="32"/>
              </w:rPr>
              <w:sym w:font="Wingdings" w:char="F06F"/>
            </w:r>
          </w:p>
        </w:tc>
      </w:tr>
      <w:tr w:rsidR="00C85C4E" w:rsidTr="008546BD">
        <w:tc>
          <w:tcPr>
            <w:tcW w:w="9242" w:type="dxa"/>
            <w:gridSpan w:val="2"/>
          </w:tcPr>
          <w:p w:rsidR="00C85C4E" w:rsidRPr="00B73C72" w:rsidRDefault="00B73C72" w:rsidP="00872550">
            <w:pPr>
              <w:spacing w:before="120" w:after="40"/>
              <w:rPr>
                <w:b/>
              </w:rPr>
            </w:pPr>
            <w:r w:rsidRPr="00B73C72">
              <w:rPr>
                <w:b/>
                <w:sz w:val="24"/>
              </w:rPr>
              <w:t>F</w:t>
            </w:r>
            <w:r w:rsidR="00C85C4E" w:rsidRPr="00B73C72">
              <w:rPr>
                <w:b/>
                <w:sz w:val="24"/>
              </w:rPr>
              <w:t>ruits of the sabbatical</w:t>
            </w:r>
          </w:p>
        </w:tc>
      </w:tr>
      <w:tr w:rsidR="00C70C25" w:rsidTr="008546BD">
        <w:tc>
          <w:tcPr>
            <w:tcW w:w="8740" w:type="dxa"/>
          </w:tcPr>
          <w:p w:rsidR="00C70C25" w:rsidRDefault="00C85C4E" w:rsidP="00872550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How will the minister share the fruits of their sabbatical in the circuit?</w:t>
            </w:r>
          </w:p>
        </w:tc>
        <w:tc>
          <w:tcPr>
            <w:tcW w:w="502" w:type="dxa"/>
          </w:tcPr>
          <w:p w:rsidR="00C70C25" w:rsidRDefault="00B73C72" w:rsidP="00872550">
            <w:pPr>
              <w:spacing w:before="40" w:after="40"/>
            </w:pPr>
            <w:r w:rsidRPr="00C70C25">
              <w:rPr>
                <w:sz w:val="32"/>
              </w:rPr>
              <w:sym w:font="Wingdings" w:char="F06F"/>
            </w:r>
          </w:p>
        </w:tc>
      </w:tr>
      <w:tr w:rsidR="00C70C25" w:rsidTr="008546BD">
        <w:tc>
          <w:tcPr>
            <w:tcW w:w="8740" w:type="dxa"/>
          </w:tcPr>
          <w:p w:rsidR="00C70C25" w:rsidRDefault="00C85C4E" w:rsidP="00872550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How will their </w:t>
            </w:r>
            <w:proofErr w:type="gramStart"/>
            <w:r>
              <w:t>church(</w:t>
            </w:r>
            <w:proofErr w:type="spellStart"/>
            <w:proofErr w:type="gramEnd"/>
            <w:r>
              <w:t>es</w:t>
            </w:r>
            <w:proofErr w:type="spellEnd"/>
            <w:r>
              <w:t xml:space="preserve">) </w:t>
            </w:r>
            <w:r w:rsidR="00872550">
              <w:t>discuss</w:t>
            </w:r>
            <w:r>
              <w:t xml:space="preserve"> their experience of the sabbatical? </w:t>
            </w:r>
          </w:p>
        </w:tc>
        <w:tc>
          <w:tcPr>
            <w:tcW w:w="502" w:type="dxa"/>
          </w:tcPr>
          <w:p w:rsidR="00C70C25" w:rsidRDefault="00B73C72" w:rsidP="00872550">
            <w:pPr>
              <w:spacing w:before="40" w:after="40"/>
            </w:pPr>
            <w:r w:rsidRPr="00C70C25">
              <w:rPr>
                <w:sz w:val="32"/>
              </w:rPr>
              <w:sym w:font="Wingdings" w:char="F06F"/>
            </w:r>
          </w:p>
        </w:tc>
      </w:tr>
    </w:tbl>
    <w:p w:rsidR="00C70C25" w:rsidRDefault="00C70C25" w:rsidP="00D602F1"/>
    <w:p w:rsidR="00D602F1" w:rsidRDefault="00D602F1" w:rsidP="00D602F1"/>
    <w:tbl>
      <w:tblPr>
        <w:tblStyle w:val="TableGrid"/>
        <w:tblW w:w="0" w:type="auto"/>
        <w:tblInd w:w="634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97"/>
      </w:tblGrid>
      <w:tr w:rsidR="00D602F1" w:rsidTr="00D602F1">
        <w:tc>
          <w:tcPr>
            <w:tcW w:w="2897" w:type="dxa"/>
          </w:tcPr>
          <w:p w:rsidR="00D602F1" w:rsidRDefault="00D602F1" w:rsidP="00D602F1">
            <w:pPr>
              <w:spacing w:before="120" w:after="120"/>
            </w:pPr>
            <w:r>
              <w:t>Thank you to Alan Jameson and the London District Sabbaticals’ Advisory Group for inspiring this checklist.</w:t>
            </w:r>
          </w:p>
        </w:tc>
      </w:tr>
    </w:tbl>
    <w:p w:rsidR="00D602F1" w:rsidRDefault="00D602F1" w:rsidP="00D602F1"/>
    <w:sectPr w:rsidR="00D60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2ED"/>
    <w:multiLevelType w:val="hybridMultilevel"/>
    <w:tmpl w:val="E62A60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436D0"/>
    <w:multiLevelType w:val="hybridMultilevel"/>
    <w:tmpl w:val="0A5CC3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25"/>
    <w:rsid w:val="000B49F8"/>
    <w:rsid w:val="0031380F"/>
    <w:rsid w:val="0042793F"/>
    <w:rsid w:val="004B4C2F"/>
    <w:rsid w:val="00816607"/>
    <w:rsid w:val="008546BD"/>
    <w:rsid w:val="00872550"/>
    <w:rsid w:val="008B34AA"/>
    <w:rsid w:val="00B73C72"/>
    <w:rsid w:val="00C70C25"/>
    <w:rsid w:val="00C85C4E"/>
    <w:rsid w:val="00CD4C3C"/>
    <w:rsid w:val="00D2604D"/>
    <w:rsid w:val="00D6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</dc:creator>
  <cp:lastModifiedBy>Richter</cp:lastModifiedBy>
  <cp:revision>6</cp:revision>
  <dcterms:created xsi:type="dcterms:W3CDTF">2017-11-13T11:16:00Z</dcterms:created>
  <dcterms:modified xsi:type="dcterms:W3CDTF">2018-02-09T13:16:00Z</dcterms:modified>
</cp:coreProperties>
</file>