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76A16179" w:rsidR="001735A4" w:rsidRDefault="00356958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255D96" wp14:editId="13B4BB9B">
            <wp:simplePos x="0" y="0"/>
            <wp:positionH relativeFrom="margin">
              <wp:posOffset>2505075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74D3A01E" w:rsidR="00AD77EF" w:rsidRPr="00AD77EF" w:rsidRDefault="00D33929" w:rsidP="00AD77EF">
      <w:pPr>
        <w:jc w:val="both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G</w:t>
      </w:r>
      <w:r w:rsidR="00FD0E49">
        <w:rPr>
          <w:rFonts w:ascii="Roboto" w:hAnsi="Roboto"/>
          <w:b/>
          <w:sz w:val="28"/>
          <w:lang w:val="en-US"/>
        </w:rPr>
        <w:t>ibraltar</w:t>
      </w:r>
    </w:p>
    <w:p w14:paraId="7B0200CE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Mae’r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cydraddoldeb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Cyfartal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2006,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wahanol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ddeddfwriaeth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Mhrydain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erbyn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â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phriodoleddau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diffiniedig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enwir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‘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briodoleddau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gwarchodedig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’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ond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‘sail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cyfartal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’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cyflogaeth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16E5DC1E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Fodd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bynnag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pob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sefydliadau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cyhoeddus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‘sail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cyfleodd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cyfartal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’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weithiau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ran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darpariaeth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o:</w:t>
      </w:r>
    </w:p>
    <w:p w14:paraId="0B3A395A" w14:textId="77777777" w:rsidR="00281FBF" w:rsidRPr="00D66B9F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Addysg</w:t>
      </w:r>
      <w:proofErr w:type="spellEnd"/>
    </w:p>
    <w:p w14:paraId="53B6EBFD" w14:textId="77777777" w:rsidR="00281FBF" w:rsidRPr="00D66B9F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Nwyddau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cyfleustodau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gwasanaethau</w:t>
      </w:r>
      <w:proofErr w:type="spellEnd"/>
    </w:p>
    <w:p w14:paraId="2B882EE4" w14:textId="77777777" w:rsidR="00281FBF" w:rsidRPr="00D66B9F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>Tai</w:t>
      </w:r>
    </w:p>
    <w:p w14:paraId="227B9C79" w14:textId="77777777" w:rsidR="00281FBF" w:rsidRPr="00D66B9F" w:rsidRDefault="00281FBF" w:rsidP="00281FBF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Isosod</w:t>
      </w:r>
      <w:proofErr w:type="spellEnd"/>
    </w:p>
    <w:p w14:paraId="7B2E97E8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 xml:space="preserve">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meysydd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sail:</w:t>
      </w:r>
    </w:p>
    <w:p w14:paraId="4586AA33" w14:textId="77777777" w:rsidR="00281FBF" w:rsidRPr="00D66B9F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Hil</w:t>
      </w:r>
      <w:proofErr w:type="spellEnd"/>
    </w:p>
    <w:p w14:paraId="5A3C3760" w14:textId="77777777" w:rsidR="00281FBF" w:rsidRPr="00D66B9F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Rhyw</w:t>
      </w:r>
      <w:proofErr w:type="spellEnd"/>
    </w:p>
    <w:p w14:paraId="53253757" w14:textId="77777777" w:rsidR="00281FBF" w:rsidRPr="00D66B9F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Mamolaeth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Feichiogrwydd</w:t>
      </w:r>
      <w:proofErr w:type="spellEnd"/>
    </w:p>
    <w:p w14:paraId="55C8D9CC" w14:textId="77777777" w:rsidR="00281FBF" w:rsidRPr="00D66B9F" w:rsidRDefault="00281FBF" w:rsidP="00281FBF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Ailbennu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rhywedd</w:t>
      </w:r>
      <w:proofErr w:type="spellEnd"/>
    </w:p>
    <w:p w14:paraId="1558551B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Fodd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bynnag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mae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eithriadau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berthnasol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Felly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ddeddfwriaeth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cydraddoldeb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ond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berthnasol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swyddogaeth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cyflogwr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swyddogaeth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narpariaeth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gwasanaethau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dylai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ddigwydd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cyfartal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meysydd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fywyd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hyfforddiant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cwmpasu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meysydd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fywyd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lle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mae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Mhrydain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Mae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cwestiynau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disgrifio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gweithredoedd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pan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fyddant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mewn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gwirionedd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hynny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ni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fyddem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ni’n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dymuno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iddynt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ddigwydd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78C5B928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lastRenderedPageBreak/>
        <w:t>Ceir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agweddau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ydynt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cael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cwmpasu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benodol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Ddeddf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Cyfleoedd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Cyfartal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2006,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bryd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mhob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arall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heblaw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am Jersey a Guernsey.</w:t>
      </w:r>
    </w:p>
    <w:p w14:paraId="545D3741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r w:rsidRPr="00D66B9F">
        <w:rPr>
          <w:rFonts w:ascii="Roboto" w:hAnsi="Roboto"/>
          <w:sz w:val="28"/>
          <w:szCs w:val="28"/>
          <w:lang w:val="en-US"/>
        </w:rPr>
        <w:t xml:space="preserve">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rhain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:</w:t>
      </w:r>
    </w:p>
    <w:p w14:paraId="171D9F0B" w14:textId="77777777" w:rsidR="00281FBF" w:rsidRPr="00D66B9F" w:rsidRDefault="00281FBF" w:rsidP="00281FBF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oherwydd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cysylltiad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(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bod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polisi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drafft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wneud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Guernsey)</w:t>
      </w:r>
    </w:p>
    <w:p w14:paraId="666B2815" w14:textId="77777777" w:rsidR="00281FBF" w:rsidRPr="00D66B9F" w:rsidRDefault="00281FBF" w:rsidP="00281FBF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sail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canfyddiad</w:t>
      </w:r>
      <w:proofErr w:type="spellEnd"/>
    </w:p>
    <w:p w14:paraId="37EDAB96" w14:textId="77777777" w:rsidR="00281FBF" w:rsidRPr="00D66B9F" w:rsidRDefault="00281FBF" w:rsidP="00281FBF">
      <w:pPr>
        <w:jc w:val="both"/>
        <w:rPr>
          <w:rFonts w:ascii="Roboto" w:hAnsi="Roboto"/>
          <w:sz w:val="28"/>
          <w:szCs w:val="28"/>
          <w:lang w:val="en-US"/>
        </w:rPr>
      </w:pPr>
      <w:proofErr w:type="spellStart"/>
      <w:r w:rsidRPr="00D66B9F">
        <w:rPr>
          <w:rFonts w:ascii="Roboto" w:hAnsi="Roboto"/>
          <w:sz w:val="28"/>
          <w:szCs w:val="28"/>
          <w:lang w:val="en-US"/>
        </w:rPr>
        <w:t>Er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nid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hynny’n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golygu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dylent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ddigwydd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Eglwys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Fethodistaidd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Fel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y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cyfryw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cânt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cwmpasu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hyfforddiant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hwn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hefyd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. 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Serch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hynny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byddwch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ymwybodol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oherwydd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proofErr w:type="gramStart"/>
      <w:r w:rsidRPr="00D66B9F">
        <w:rPr>
          <w:rFonts w:ascii="Roboto" w:hAnsi="Roboto"/>
          <w:sz w:val="28"/>
          <w:szCs w:val="28"/>
          <w:lang w:val="en-US"/>
        </w:rPr>
        <w:t>nad</w:t>
      </w:r>
      <w:proofErr w:type="spellEnd"/>
      <w:proofErr w:type="gram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ydynt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anghyfreithlon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,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gallai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fod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gwahaniaethau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ymdriniaeth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â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sefyllfaoedd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o’r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fath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yn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Gibraltar o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gymharu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â’r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awdurdodaethau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 xml:space="preserve"> </w:t>
      </w:r>
      <w:proofErr w:type="spellStart"/>
      <w:r w:rsidRPr="00D66B9F">
        <w:rPr>
          <w:rFonts w:ascii="Roboto" w:hAnsi="Roboto"/>
          <w:sz w:val="28"/>
          <w:szCs w:val="28"/>
          <w:lang w:val="en-US"/>
        </w:rPr>
        <w:t>eraill</w:t>
      </w:r>
      <w:proofErr w:type="spellEnd"/>
      <w:r w:rsidRPr="00D66B9F">
        <w:rPr>
          <w:rFonts w:ascii="Roboto" w:hAnsi="Roboto"/>
          <w:sz w:val="28"/>
          <w:szCs w:val="28"/>
          <w:lang w:val="en-US"/>
        </w:rPr>
        <w:t>.</w:t>
      </w:r>
    </w:p>
    <w:p w14:paraId="6210EAFD" w14:textId="2DCE9486" w:rsidR="001735A4" w:rsidRDefault="001735A4" w:rsidP="00D33929">
      <w:pPr>
        <w:jc w:val="both"/>
        <w:rPr>
          <w:rFonts w:ascii="Roboto" w:hAnsi="Roboto"/>
          <w:sz w:val="28"/>
          <w:lang w:val="en-US"/>
        </w:rPr>
      </w:pPr>
    </w:p>
    <w:p w14:paraId="692493F2" w14:textId="74417BF3" w:rsidR="00065F8F" w:rsidRDefault="00065F8F" w:rsidP="00D33929">
      <w:pPr>
        <w:jc w:val="both"/>
        <w:rPr>
          <w:rFonts w:ascii="Roboto" w:hAnsi="Roboto"/>
          <w:sz w:val="28"/>
          <w:lang w:val="en-US"/>
        </w:rPr>
      </w:pPr>
    </w:p>
    <w:p w14:paraId="38F6E075" w14:textId="2A5B607E" w:rsidR="00065F8F" w:rsidRDefault="00CD6E6C" w:rsidP="00065F8F">
      <w:pPr>
        <w:jc w:val="both"/>
        <w:rPr>
          <w:rFonts w:ascii="Roboto" w:hAnsi="Roboto"/>
          <w:sz w:val="28"/>
          <w:lang w:val="en-US"/>
        </w:rPr>
      </w:pPr>
      <w:r w:rsidRPr="001E5057">
        <w:rPr>
          <w:rFonts w:ascii="Roboto" w:hAnsi="Roboto"/>
          <w:sz w:val="28"/>
        </w:rPr>
        <w:t xml:space="preserve">I weld </w:t>
      </w:r>
      <w:proofErr w:type="spellStart"/>
      <w:r w:rsidRPr="001E5057">
        <w:rPr>
          <w:rFonts w:ascii="Roboto" w:hAnsi="Roboto"/>
          <w:sz w:val="28"/>
        </w:rPr>
        <w:t>Deddf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Cyfleoedd</w:t>
      </w:r>
      <w:proofErr w:type="spellEnd"/>
      <w:r w:rsidRPr="001E5057">
        <w:rPr>
          <w:rFonts w:ascii="Roboto" w:hAnsi="Roboto"/>
          <w:sz w:val="28"/>
        </w:rPr>
        <w:t xml:space="preserve"> </w:t>
      </w:r>
      <w:proofErr w:type="spellStart"/>
      <w:r w:rsidRPr="001E5057">
        <w:rPr>
          <w:rFonts w:ascii="Roboto" w:hAnsi="Roboto"/>
          <w:sz w:val="28"/>
        </w:rPr>
        <w:t>Cyfartal</w:t>
      </w:r>
      <w:proofErr w:type="spellEnd"/>
      <w:r w:rsidRPr="001E5057">
        <w:rPr>
          <w:rFonts w:ascii="Roboto" w:hAnsi="Roboto"/>
          <w:sz w:val="28"/>
        </w:rPr>
        <w:t xml:space="preserve"> 2006, </w:t>
      </w:r>
      <w:proofErr w:type="spellStart"/>
      <w:r w:rsidRPr="001E5057">
        <w:rPr>
          <w:rFonts w:ascii="Roboto" w:hAnsi="Roboto"/>
          <w:sz w:val="28"/>
        </w:rPr>
        <w:t>cliciwch</w:t>
      </w:r>
      <w:proofErr w:type="spellEnd"/>
      <w:r w:rsidR="00065F8F">
        <w:rPr>
          <w:rFonts w:ascii="Roboto" w:hAnsi="Roboto"/>
          <w:sz w:val="28"/>
          <w:lang w:val="en-US"/>
        </w:rPr>
        <w:t xml:space="preserve"> </w:t>
      </w:r>
      <w:hyperlink r:id="rId9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065F8F">
        <w:rPr>
          <w:rFonts w:ascii="Roboto" w:hAnsi="Roboto"/>
          <w:sz w:val="28"/>
          <w:lang w:val="en-US"/>
        </w:rPr>
        <w:t>.</w:t>
      </w:r>
    </w:p>
    <w:sectPr w:rsidR="0006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641"/>
    <w:multiLevelType w:val="hybridMultilevel"/>
    <w:tmpl w:val="652A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1F2E"/>
    <w:multiLevelType w:val="hybridMultilevel"/>
    <w:tmpl w:val="A740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65F8F"/>
    <w:rsid w:val="000A7A83"/>
    <w:rsid w:val="000C1A24"/>
    <w:rsid w:val="00142C48"/>
    <w:rsid w:val="00171436"/>
    <w:rsid w:val="001735A4"/>
    <w:rsid w:val="00281FBF"/>
    <w:rsid w:val="002E11FC"/>
    <w:rsid w:val="003154A4"/>
    <w:rsid w:val="00356958"/>
    <w:rsid w:val="003F2B5B"/>
    <w:rsid w:val="00401CBC"/>
    <w:rsid w:val="004637BE"/>
    <w:rsid w:val="00463B68"/>
    <w:rsid w:val="00500661"/>
    <w:rsid w:val="00562F34"/>
    <w:rsid w:val="0063787F"/>
    <w:rsid w:val="006B2546"/>
    <w:rsid w:val="006F6809"/>
    <w:rsid w:val="007170E3"/>
    <w:rsid w:val="007A2087"/>
    <w:rsid w:val="008818C6"/>
    <w:rsid w:val="00907B06"/>
    <w:rsid w:val="009B6BB5"/>
    <w:rsid w:val="009C1332"/>
    <w:rsid w:val="009C5D8E"/>
    <w:rsid w:val="00A17BC1"/>
    <w:rsid w:val="00AA3035"/>
    <w:rsid w:val="00AD77EF"/>
    <w:rsid w:val="00C533DC"/>
    <w:rsid w:val="00CA3EE9"/>
    <w:rsid w:val="00CB2462"/>
    <w:rsid w:val="00CD23C5"/>
    <w:rsid w:val="00CD6E6C"/>
    <w:rsid w:val="00D31E8D"/>
    <w:rsid w:val="00D33929"/>
    <w:rsid w:val="00E26CB5"/>
    <w:rsid w:val="00F90924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braltarlaws.gov.gi/legislations/equal-opportunities-act-2006-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5</cp:revision>
  <dcterms:created xsi:type="dcterms:W3CDTF">2022-08-16T17:03:00Z</dcterms:created>
  <dcterms:modified xsi:type="dcterms:W3CDTF">2022-08-16T17:24:00Z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