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8C6C" w14:textId="77777777" w:rsidR="00B916E9" w:rsidRDefault="00B916E9" w:rsidP="0013597E">
      <w:pPr>
        <w:tabs>
          <w:tab w:val="left" w:pos="426"/>
        </w:tabs>
        <w:ind w:left="6" w:right="-22"/>
        <w:rPr>
          <w:b/>
          <w:color w:val="000000" w:themeColor="text1"/>
          <w:sz w:val="24"/>
          <w:szCs w:val="24"/>
        </w:rPr>
      </w:pPr>
    </w:p>
    <w:p w14:paraId="4F113F7C" w14:textId="3D6D4CBE" w:rsidR="005054DA" w:rsidRDefault="00390151" w:rsidP="0013597E">
      <w:pPr>
        <w:tabs>
          <w:tab w:val="left" w:pos="426"/>
        </w:tabs>
        <w:ind w:left="6" w:right="-22"/>
        <w:rPr>
          <w:i/>
          <w:color w:val="000000" w:themeColor="text1"/>
          <w:sz w:val="24"/>
          <w:szCs w:val="24"/>
        </w:rPr>
      </w:pPr>
      <w:bookmarkStart w:id="0" w:name="_GoBack"/>
      <w:r>
        <w:rPr>
          <w:i/>
          <w:color w:val="000000" w:themeColor="text1"/>
          <w:sz w:val="24"/>
          <w:szCs w:val="24"/>
        </w:rPr>
        <w:t xml:space="preserve">This is </w:t>
      </w:r>
      <w:r w:rsidR="00327350">
        <w:rPr>
          <w:i/>
          <w:color w:val="000000" w:themeColor="text1"/>
          <w:sz w:val="24"/>
          <w:szCs w:val="24"/>
        </w:rPr>
        <w:t xml:space="preserve">one of a number of Ancillary Papers </w:t>
      </w:r>
      <w:r w:rsidR="00FC1E4B">
        <w:rPr>
          <w:i/>
          <w:color w:val="000000" w:themeColor="text1"/>
          <w:sz w:val="24"/>
          <w:szCs w:val="24"/>
        </w:rPr>
        <w:t xml:space="preserve">relating to the report of the Marriage and Relationships Task Group that </w:t>
      </w:r>
      <w:proofErr w:type="gramStart"/>
      <w:r w:rsidR="00FC1E4B">
        <w:rPr>
          <w:i/>
          <w:color w:val="000000" w:themeColor="text1"/>
          <w:sz w:val="24"/>
          <w:szCs w:val="24"/>
        </w:rPr>
        <w:t>is being presented</w:t>
      </w:r>
      <w:proofErr w:type="gramEnd"/>
      <w:r w:rsidR="00FC1E4B">
        <w:rPr>
          <w:i/>
          <w:color w:val="000000" w:themeColor="text1"/>
          <w:sz w:val="24"/>
          <w:szCs w:val="24"/>
        </w:rPr>
        <w:t xml:space="preserve"> to </w:t>
      </w:r>
      <w:r w:rsidR="007473BD">
        <w:rPr>
          <w:i/>
          <w:color w:val="000000" w:themeColor="text1"/>
          <w:sz w:val="24"/>
          <w:szCs w:val="24"/>
        </w:rPr>
        <w:t>the Methodist Conference in 2019.</w:t>
      </w:r>
      <w:r w:rsidR="005A6676">
        <w:rPr>
          <w:i/>
          <w:color w:val="000000" w:themeColor="text1"/>
          <w:sz w:val="24"/>
          <w:szCs w:val="24"/>
        </w:rPr>
        <w:t xml:space="preserve"> The report itself, entitled </w:t>
      </w:r>
      <w:r w:rsidR="00C25641" w:rsidRPr="00C25641">
        <w:rPr>
          <w:b/>
          <w:color w:val="000000" w:themeColor="text1"/>
          <w:sz w:val="24"/>
          <w:szCs w:val="24"/>
        </w:rPr>
        <w:t>God in love unites us</w:t>
      </w:r>
      <w:r w:rsidR="00C25641">
        <w:rPr>
          <w:color w:val="000000" w:themeColor="text1"/>
          <w:sz w:val="24"/>
          <w:szCs w:val="24"/>
        </w:rPr>
        <w:t xml:space="preserve"> </w:t>
      </w:r>
      <w:r w:rsidR="00C25641">
        <w:rPr>
          <w:i/>
          <w:color w:val="000000" w:themeColor="text1"/>
          <w:sz w:val="24"/>
          <w:szCs w:val="24"/>
        </w:rPr>
        <w:t xml:space="preserve">can </w:t>
      </w:r>
      <w:r w:rsidR="00EB0C71">
        <w:rPr>
          <w:i/>
          <w:color w:val="000000" w:themeColor="text1"/>
          <w:sz w:val="24"/>
          <w:szCs w:val="24"/>
        </w:rPr>
        <w:t xml:space="preserve">be found and downloaded </w:t>
      </w:r>
      <w:r w:rsidR="005054DA">
        <w:rPr>
          <w:i/>
          <w:color w:val="000000" w:themeColor="text1"/>
          <w:sz w:val="24"/>
          <w:szCs w:val="24"/>
        </w:rPr>
        <w:t xml:space="preserve">from </w:t>
      </w:r>
      <w:hyperlink r:id="rId7" w:history="1">
        <w:r w:rsidR="00AB41D1" w:rsidRPr="0022216E">
          <w:rPr>
            <w:rStyle w:val="Hyperlink"/>
            <w:i/>
            <w:sz w:val="24"/>
            <w:szCs w:val="24"/>
          </w:rPr>
          <w:t>www.methodist.org</w:t>
        </w:r>
        <w:r w:rsidR="00AB41D1" w:rsidRPr="0022216E">
          <w:rPr>
            <w:rStyle w:val="Hyperlink"/>
            <w:i/>
            <w:sz w:val="24"/>
            <w:szCs w:val="24"/>
          </w:rPr>
          <w:t>.</w:t>
        </w:r>
        <w:r w:rsidR="00AB41D1" w:rsidRPr="0022216E">
          <w:rPr>
            <w:rStyle w:val="Hyperlink"/>
            <w:i/>
            <w:sz w:val="24"/>
            <w:szCs w:val="24"/>
          </w:rPr>
          <w:t>uk/MandR19</w:t>
        </w:r>
      </w:hyperlink>
    </w:p>
    <w:bookmarkEnd w:id="0"/>
    <w:p w14:paraId="5EC28EC6" w14:textId="5F4BB3C2" w:rsidR="00335633" w:rsidRDefault="005054DA" w:rsidP="0013597E">
      <w:pPr>
        <w:tabs>
          <w:tab w:val="left" w:pos="426"/>
        </w:tabs>
        <w:ind w:left="6" w:right="-22"/>
        <w:rPr>
          <w:i/>
          <w:color w:val="000000" w:themeColor="text1"/>
          <w:sz w:val="24"/>
          <w:szCs w:val="24"/>
        </w:rPr>
      </w:pPr>
      <w:r>
        <w:rPr>
          <w:i/>
          <w:color w:val="000000" w:themeColor="text1"/>
          <w:sz w:val="24"/>
          <w:szCs w:val="24"/>
        </w:rPr>
        <w:t xml:space="preserve">The report does not depend on these papers. </w:t>
      </w:r>
      <w:r w:rsidR="008A0BC1">
        <w:rPr>
          <w:i/>
          <w:color w:val="000000" w:themeColor="text1"/>
          <w:sz w:val="24"/>
          <w:szCs w:val="24"/>
        </w:rPr>
        <w:t>They have not been presented to the Conference</w:t>
      </w:r>
      <w:r w:rsidR="00EB1E3F">
        <w:rPr>
          <w:i/>
          <w:color w:val="000000" w:themeColor="text1"/>
          <w:sz w:val="24"/>
          <w:szCs w:val="24"/>
        </w:rPr>
        <w:t xml:space="preserve"> or approved by any formal body in the Methodist Church. </w:t>
      </w:r>
      <w:r w:rsidR="00705E68">
        <w:rPr>
          <w:i/>
          <w:color w:val="000000" w:themeColor="text1"/>
          <w:sz w:val="24"/>
          <w:szCs w:val="24"/>
        </w:rPr>
        <w:t xml:space="preserve">They </w:t>
      </w:r>
      <w:proofErr w:type="gramStart"/>
      <w:r w:rsidR="00705E68">
        <w:rPr>
          <w:i/>
          <w:color w:val="000000" w:themeColor="text1"/>
          <w:sz w:val="24"/>
          <w:szCs w:val="24"/>
        </w:rPr>
        <w:t>have been written</w:t>
      </w:r>
      <w:proofErr w:type="gramEnd"/>
      <w:r w:rsidR="00705E68">
        <w:rPr>
          <w:i/>
          <w:color w:val="000000" w:themeColor="text1"/>
          <w:sz w:val="24"/>
          <w:szCs w:val="24"/>
        </w:rPr>
        <w:t xml:space="preserve"> as background papers</w:t>
      </w:r>
      <w:r w:rsidR="001A73C1">
        <w:rPr>
          <w:i/>
          <w:color w:val="000000" w:themeColor="text1"/>
          <w:sz w:val="24"/>
          <w:szCs w:val="24"/>
        </w:rPr>
        <w:t xml:space="preserve"> or to help the Task Group </w:t>
      </w:r>
      <w:r w:rsidR="00857D49">
        <w:rPr>
          <w:i/>
          <w:color w:val="000000" w:themeColor="text1"/>
          <w:sz w:val="24"/>
          <w:szCs w:val="24"/>
        </w:rPr>
        <w:t>think through some particul</w:t>
      </w:r>
      <w:r w:rsidR="00CB0C1B">
        <w:rPr>
          <w:i/>
          <w:color w:val="000000" w:themeColor="text1"/>
          <w:sz w:val="24"/>
          <w:szCs w:val="24"/>
        </w:rPr>
        <w:t xml:space="preserve">ar issues as it sought to come to a mind and develop its views </w:t>
      </w:r>
      <w:r w:rsidR="006472BA">
        <w:rPr>
          <w:i/>
          <w:color w:val="000000" w:themeColor="text1"/>
          <w:sz w:val="24"/>
          <w:szCs w:val="24"/>
        </w:rPr>
        <w:t xml:space="preserve">in writing its report. </w:t>
      </w:r>
      <w:r w:rsidR="002E08BE">
        <w:rPr>
          <w:i/>
          <w:color w:val="000000" w:themeColor="text1"/>
          <w:sz w:val="24"/>
          <w:szCs w:val="24"/>
        </w:rPr>
        <w:t xml:space="preserve">They </w:t>
      </w:r>
      <w:r w:rsidR="00AE374E">
        <w:rPr>
          <w:i/>
          <w:color w:val="000000" w:themeColor="text1"/>
          <w:sz w:val="24"/>
          <w:szCs w:val="24"/>
        </w:rPr>
        <w:t xml:space="preserve">are </w:t>
      </w:r>
      <w:r w:rsidR="00D75E7A">
        <w:rPr>
          <w:i/>
          <w:color w:val="000000" w:themeColor="text1"/>
          <w:sz w:val="24"/>
          <w:szCs w:val="24"/>
        </w:rPr>
        <w:t xml:space="preserve">not </w:t>
      </w:r>
      <w:r w:rsidR="00003338">
        <w:rPr>
          <w:i/>
          <w:color w:val="000000" w:themeColor="text1"/>
          <w:sz w:val="24"/>
          <w:szCs w:val="24"/>
        </w:rPr>
        <w:t>n</w:t>
      </w:r>
      <w:r w:rsidR="00A435CB">
        <w:rPr>
          <w:i/>
          <w:color w:val="000000" w:themeColor="text1"/>
          <w:sz w:val="24"/>
          <w:szCs w:val="24"/>
        </w:rPr>
        <w:t>ecessarily the considered view of the whole of the Task Group</w:t>
      </w:r>
      <w:r w:rsidR="00F03B40">
        <w:rPr>
          <w:i/>
          <w:color w:val="000000" w:themeColor="text1"/>
          <w:sz w:val="24"/>
          <w:szCs w:val="24"/>
        </w:rPr>
        <w:t xml:space="preserve">, </w:t>
      </w:r>
      <w:r w:rsidR="00EC1A24">
        <w:rPr>
          <w:i/>
          <w:color w:val="000000" w:themeColor="text1"/>
          <w:sz w:val="24"/>
          <w:szCs w:val="24"/>
        </w:rPr>
        <w:t xml:space="preserve">but </w:t>
      </w:r>
      <w:proofErr w:type="gramStart"/>
      <w:r w:rsidR="003A4C78">
        <w:rPr>
          <w:i/>
          <w:color w:val="000000" w:themeColor="text1"/>
          <w:sz w:val="24"/>
          <w:szCs w:val="24"/>
        </w:rPr>
        <w:t>are offered</w:t>
      </w:r>
      <w:proofErr w:type="gramEnd"/>
      <w:r w:rsidR="003A4C78">
        <w:rPr>
          <w:i/>
          <w:color w:val="000000" w:themeColor="text1"/>
          <w:sz w:val="24"/>
          <w:szCs w:val="24"/>
        </w:rPr>
        <w:t xml:space="preserve"> here in the </w:t>
      </w:r>
      <w:r w:rsidR="000052F8">
        <w:rPr>
          <w:i/>
          <w:color w:val="000000" w:themeColor="text1"/>
          <w:sz w:val="24"/>
          <w:szCs w:val="24"/>
        </w:rPr>
        <w:t xml:space="preserve">hope that some may find them stimulating, challenging </w:t>
      </w:r>
      <w:r w:rsidR="00335633">
        <w:rPr>
          <w:i/>
          <w:color w:val="000000" w:themeColor="text1"/>
          <w:sz w:val="24"/>
          <w:szCs w:val="24"/>
        </w:rPr>
        <w:t>or illuminating.</w:t>
      </w:r>
    </w:p>
    <w:p w14:paraId="602E696D" w14:textId="7FAE5A13" w:rsidR="00B916E9" w:rsidRPr="00390151" w:rsidRDefault="007473BD" w:rsidP="0013597E">
      <w:pPr>
        <w:tabs>
          <w:tab w:val="left" w:pos="426"/>
        </w:tabs>
        <w:ind w:left="6" w:right="-22"/>
        <w:rPr>
          <w:i/>
          <w:color w:val="000000" w:themeColor="text1"/>
          <w:sz w:val="24"/>
          <w:szCs w:val="24"/>
        </w:rPr>
      </w:pPr>
      <w:r>
        <w:rPr>
          <w:i/>
          <w:color w:val="000000" w:themeColor="text1"/>
          <w:sz w:val="24"/>
          <w:szCs w:val="24"/>
        </w:rPr>
        <w:t xml:space="preserve"> </w:t>
      </w:r>
      <w:r w:rsidR="00FC1E4B">
        <w:rPr>
          <w:i/>
          <w:color w:val="000000" w:themeColor="text1"/>
          <w:sz w:val="24"/>
          <w:szCs w:val="24"/>
        </w:rPr>
        <w:t xml:space="preserve"> </w:t>
      </w:r>
    </w:p>
    <w:p w14:paraId="397E65BD" w14:textId="17327C34" w:rsidR="00335633" w:rsidRDefault="00335633" w:rsidP="00335633">
      <w:pPr>
        <w:tabs>
          <w:tab w:val="left" w:pos="426"/>
        </w:tabs>
        <w:ind w:left="6" w:right="-22"/>
        <w:jc w:val="center"/>
        <w:rPr>
          <w:b/>
          <w:color w:val="000000" w:themeColor="text1"/>
          <w:sz w:val="24"/>
          <w:szCs w:val="24"/>
        </w:rPr>
      </w:pPr>
      <w:r w:rsidRPr="00045EDC">
        <w:rPr>
          <w:b/>
          <w:color w:val="000000" w:themeColor="text1"/>
          <w:sz w:val="24"/>
          <w:szCs w:val="24"/>
        </w:rPr>
        <w:t>A</w:t>
      </w:r>
      <w:r>
        <w:rPr>
          <w:b/>
          <w:color w:val="000000" w:themeColor="text1"/>
          <w:sz w:val="24"/>
          <w:szCs w:val="24"/>
        </w:rPr>
        <w:t xml:space="preserve">NCILLARY PAPER </w:t>
      </w:r>
      <w:r w:rsidRPr="00045EDC">
        <w:rPr>
          <w:b/>
          <w:color w:val="000000" w:themeColor="text1"/>
          <w:sz w:val="24"/>
          <w:szCs w:val="24"/>
        </w:rPr>
        <w:t>A:</w:t>
      </w:r>
    </w:p>
    <w:p w14:paraId="690221E1" w14:textId="06D39011" w:rsidR="0013597E" w:rsidRDefault="00335633" w:rsidP="00335633">
      <w:pPr>
        <w:tabs>
          <w:tab w:val="left" w:pos="426"/>
        </w:tabs>
        <w:ind w:left="6" w:right="-22"/>
        <w:jc w:val="center"/>
        <w:rPr>
          <w:b/>
          <w:color w:val="000000" w:themeColor="text1"/>
          <w:sz w:val="24"/>
          <w:szCs w:val="24"/>
        </w:rPr>
      </w:pPr>
      <w:r w:rsidRPr="00045EDC">
        <w:rPr>
          <w:b/>
          <w:color w:val="000000" w:themeColor="text1"/>
          <w:sz w:val="24"/>
          <w:szCs w:val="24"/>
        </w:rPr>
        <w:t>STATISTICS ABOUT GENDER, SEXUALITY, AND FAMILIES AND HOUSEHOLDS.</w:t>
      </w:r>
    </w:p>
    <w:p w14:paraId="7D4A7FFD" w14:textId="77777777" w:rsidR="00335633" w:rsidRPr="00045EDC" w:rsidRDefault="00335633" w:rsidP="00335633">
      <w:pPr>
        <w:tabs>
          <w:tab w:val="left" w:pos="426"/>
        </w:tabs>
        <w:ind w:left="6" w:right="-22"/>
        <w:jc w:val="center"/>
        <w:rPr>
          <w:b/>
          <w:color w:val="000000" w:themeColor="text1"/>
          <w:sz w:val="24"/>
          <w:szCs w:val="24"/>
        </w:rPr>
      </w:pPr>
    </w:p>
    <w:p w14:paraId="05F0E626" w14:textId="096E7060" w:rsidR="00427727" w:rsidRPr="00045EDC" w:rsidRDefault="00EB4AAD" w:rsidP="00427727">
      <w:pPr>
        <w:numPr>
          <w:ilvl w:val="0"/>
          <w:numId w:val="1"/>
        </w:numPr>
        <w:tabs>
          <w:tab w:val="left" w:pos="426"/>
        </w:tabs>
        <w:ind w:left="426" w:hanging="420"/>
        <w:rPr>
          <w:color w:val="000000" w:themeColor="text1"/>
          <w:sz w:val="24"/>
          <w:szCs w:val="24"/>
        </w:rPr>
      </w:pPr>
      <w:r>
        <w:rPr>
          <w:color w:val="000000" w:themeColor="text1"/>
          <w:sz w:val="24"/>
          <w:szCs w:val="24"/>
        </w:rPr>
        <w:t>Calculating</w:t>
      </w:r>
      <w:r w:rsidR="0013597E" w:rsidRPr="00045EDC">
        <w:rPr>
          <w:color w:val="000000" w:themeColor="text1"/>
          <w:sz w:val="24"/>
          <w:szCs w:val="24"/>
        </w:rPr>
        <w:t xml:space="preserve"> the numbers of people of different genders and sexualities is difficult. We need to acknowledge that, because of the centuries of rejection and persecution of lesbian, gay, bisexual and transgender (LGBT) people, it still proves difficult to ascertain accurate statistics about sexuality. That said, according to the Office for National Statistics, </w:t>
      </w:r>
      <w:r w:rsidR="00BE52A1" w:rsidRPr="00045EDC">
        <w:rPr>
          <w:color w:val="000000" w:themeColor="text1"/>
          <w:sz w:val="24"/>
          <w:szCs w:val="24"/>
        </w:rPr>
        <w:t>“</w:t>
      </w:r>
      <w:r w:rsidR="008B7830" w:rsidRPr="00045EDC">
        <w:rPr>
          <w:color w:val="000000" w:themeColor="text1"/>
          <w:sz w:val="24"/>
          <w:szCs w:val="24"/>
        </w:rPr>
        <w:t>The proportion of the UK population aged 16 years and over identifying as heterosexual or straight has decreased from 94.4% in 2012 to 93.2% in 2017</w:t>
      </w:r>
      <w:r w:rsidR="00BE52A1" w:rsidRPr="00045EDC">
        <w:rPr>
          <w:color w:val="000000" w:themeColor="text1"/>
          <w:sz w:val="24"/>
          <w:szCs w:val="24"/>
        </w:rPr>
        <w:t xml:space="preserve">” </w:t>
      </w:r>
      <w:r w:rsidR="0035483C" w:rsidRPr="00045EDC">
        <w:rPr>
          <w:color w:val="000000" w:themeColor="text1"/>
          <w:sz w:val="24"/>
          <w:szCs w:val="24"/>
        </w:rPr>
        <w:t xml:space="preserve">and </w:t>
      </w:r>
      <w:r w:rsidR="001770BD" w:rsidRPr="00045EDC">
        <w:rPr>
          <w:color w:val="000000" w:themeColor="text1"/>
          <w:sz w:val="24"/>
          <w:szCs w:val="24"/>
        </w:rPr>
        <w:t>“</w:t>
      </w:r>
      <w:r w:rsidR="008B7830" w:rsidRPr="008B7830">
        <w:rPr>
          <w:color w:val="000000" w:themeColor="text1"/>
          <w:sz w:val="24"/>
          <w:szCs w:val="24"/>
        </w:rPr>
        <w:t>the proportion of the UK population identifying as lesbian, gay or bisexual (LGB) has increased from 1.5% in 2012 to 2.0% in 2017, although the latest figure is unchanged from 2016</w:t>
      </w:r>
      <w:r w:rsidR="001770BD" w:rsidRPr="00045EDC">
        <w:rPr>
          <w:color w:val="000000" w:themeColor="text1"/>
          <w:sz w:val="24"/>
          <w:szCs w:val="24"/>
        </w:rPr>
        <w:t>”</w:t>
      </w:r>
      <w:r w:rsidR="003A4049" w:rsidRPr="00045EDC">
        <w:rPr>
          <w:color w:val="000000" w:themeColor="text1"/>
          <w:sz w:val="24"/>
          <w:szCs w:val="24"/>
        </w:rPr>
        <w:t>.</w:t>
      </w:r>
      <w:r w:rsidR="003A4049" w:rsidRPr="00045EDC">
        <w:rPr>
          <w:color w:val="000000" w:themeColor="text1"/>
          <w:sz w:val="24"/>
          <w:szCs w:val="24"/>
          <w:vertAlign w:val="superscript"/>
        </w:rPr>
        <w:footnoteReference w:id="1"/>
      </w:r>
      <w:r w:rsidR="0013597E" w:rsidRPr="00045EDC">
        <w:rPr>
          <w:color w:val="000000" w:themeColor="text1"/>
          <w:sz w:val="24"/>
          <w:szCs w:val="24"/>
        </w:rPr>
        <w:t xml:space="preserve"> That 2.0% consisted of 1</w:t>
      </w:r>
      <w:r w:rsidR="00E31F82" w:rsidRPr="00045EDC">
        <w:rPr>
          <w:color w:val="000000" w:themeColor="text1"/>
          <w:sz w:val="24"/>
          <w:szCs w:val="24"/>
        </w:rPr>
        <w:t>.1</w:t>
      </w:r>
      <w:r w:rsidR="0013597E" w:rsidRPr="00045EDC">
        <w:rPr>
          <w:color w:val="000000" w:themeColor="text1"/>
          <w:sz w:val="24"/>
          <w:szCs w:val="24"/>
        </w:rPr>
        <w:t xml:space="preserve"> million of the UK population aged 16 and over who identified themselves as lesbian, gay or bisexual. Over half of these (1.</w:t>
      </w:r>
      <w:r w:rsidR="00456999" w:rsidRPr="00045EDC">
        <w:rPr>
          <w:color w:val="000000" w:themeColor="text1"/>
          <w:sz w:val="24"/>
          <w:szCs w:val="24"/>
        </w:rPr>
        <w:t>3</w:t>
      </w:r>
      <w:r w:rsidR="0013597E" w:rsidRPr="00045EDC">
        <w:rPr>
          <w:color w:val="000000" w:themeColor="text1"/>
          <w:sz w:val="24"/>
          <w:szCs w:val="24"/>
        </w:rPr>
        <w:t>% of the whole population) identified themselves as lesbian or gay, and the rest (0.</w:t>
      </w:r>
      <w:r w:rsidR="00456999" w:rsidRPr="00045EDC">
        <w:rPr>
          <w:color w:val="000000" w:themeColor="text1"/>
          <w:sz w:val="24"/>
          <w:szCs w:val="24"/>
        </w:rPr>
        <w:t>7</w:t>
      </w:r>
      <w:r w:rsidR="0013597E" w:rsidRPr="00045EDC">
        <w:rPr>
          <w:color w:val="000000" w:themeColor="text1"/>
          <w:sz w:val="24"/>
          <w:szCs w:val="24"/>
        </w:rPr>
        <w:t xml:space="preserve">% of the whole) as bisexual. </w:t>
      </w:r>
      <w:r w:rsidR="002007C2" w:rsidRPr="00045EDC">
        <w:rPr>
          <w:color w:val="000000" w:themeColor="text1"/>
          <w:sz w:val="24"/>
          <w:szCs w:val="24"/>
        </w:rPr>
        <w:t>“A</w:t>
      </w:r>
      <w:r w:rsidR="00086AF1" w:rsidRPr="00086AF1">
        <w:rPr>
          <w:color w:val="000000" w:themeColor="text1"/>
          <w:sz w:val="24"/>
          <w:szCs w:val="24"/>
        </w:rPr>
        <w:t xml:space="preserve"> further 0.6% identified as “other”, meaning that they did not consider themselves to fit into the heterosexual or straight, bisexual, gay or lesbian categories. This proportion has increased since 2012 (0.3%). A further 4.1% refused, or did not know how, to identify themselves</w:t>
      </w:r>
      <w:r w:rsidR="002007C2" w:rsidRPr="00045EDC">
        <w:rPr>
          <w:color w:val="000000" w:themeColor="text1"/>
          <w:sz w:val="24"/>
          <w:szCs w:val="24"/>
        </w:rPr>
        <w:t>”</w:t>
      </w:r>
      <w:r w:rsidR="00086AF1" w:rsidRPr="00086AF1">
        <w:rPr>
          <w:color w:val="000000" w:themeColor="text1"/>
          <w:sz w:val="24"/>
          <w:szCs w:val="24"/>
        </w:rPr>
        <w:t xml:space="preserve">. </w:t>
      </w:r>
    </w:p>
    <w:p w14:paraId="0A485E34" w14:textId="61DFF5A8" w:rsidR="00C37D29" w:rsidRPr="00045EDC" w:rsidRDefault="0013597E" w:rsidP="00C37D29">
      <w:pPr>
        <w:numPr>
          <w:ilvl w:val="0"/>
          <w:numId w:val="1"/>
        </w:numPr>
        <w:tabs>
          <w:tab w:val="left" w:pos="426"/>
        </w:tabs>
        <w:ind w:left="426" w:hanging="420"/>
        <w:rPr>
          <w:color w:val="000000" w:themeColor="text1"/>
          <w:sz w:val="24"/>
          <w:szCs w:val="24"/>
        </w:rPr>
      </w:pPr>
      <w:r w:rsidRPr="00045EDC">
        <w:rPr>
          <w:color w:val="000000" w:themeColor="text1"/>
          <w:sz w:val="24"/>
          <w:szCs w:val="24"/>
        </w:rPr>
        <w:t>Furthermore, more males (2.3%) than females (1.</w:t>
      </w:r>
      <w:r w:rsidR="001A7942" w:rsidRPr="00045EDC">
        <w:rPr>
          <w:color w:val="000000" w:themeColor="text1"/>
          <w:sz w:val="24"/>
          <w:szCs w:val="24"/>
        </w:rPr>
        <w:t>8</w:t>
      </w:r>
      <w:r w:rsidRPr="00045EDC">
        <w:rPr>
          <w:color w:val="000000" w:themeColor="text1"/>
          <w:sz w:val="24"/>
          <w:szCs w:val="24"/>
        </w:rPr>
        <w:t>%) identified themselves as lesbian, gay or bisexual in 201</w:t>
      </w:r>
      <w:r w:rsidR="00CB0BCB" w:rsidRPr="00045EDC">
        <w:rPr>
          <w:color w:val="000000" w:themeColor="text1"/>
          <w:sz w:val="24"/>
          <w:szCs w:val="24"/>
        </w:rPr>
        <w:t>7</w:t>
      </w:r>
      <w:r w:rsidRPr="00045EDC">
        <w:rPr>
          <w:color w:val="000000" w:themeColor="text1"/>
          <w:sz w:val="24"/>
          <w:szCs w:val="24"/>
        </w:rPr>
        <w:t>. The people most likely to do so were those in the 16 to 24 age group (4.</w:t>
      </w:r>
      <w:r w:rsidR="00DA4BB1" w:rsidRPr="00045EDC">
        <w:rPr>
          <w:color w:val="000000" w:themeColor="text1"/>
          <w:sz w:val="24"/>
          <w:szCs w:val="24"/>
        </w:rPr>
        <w:t>2</w:t>
      </w:r>
      <w:r w:rsidRPr="00045EDC">
        <w:rPr>
          <w:color w:val="000000" w:themeColor="text1"/>
          <w:sz w:val="24"/>
          <w:szCs w:val="24"/>
        </w:rPr>
        <w:t>%)</w:t>
      </w:r>
      <w:r w:rsidR="00171C22" w:rsidRPr="00045EDC">
        <w:rPr>
          <w:color w:val="000000" w:themeColor="text1"/>
          <w:sz w:val="24"/>
          <w:szCs w:val="24"/>
        </w:rPr>
        <w:t xml:space="preserve">, </w:t>
      </w:r>
      <w:r w:rsidR="00D77AF3" w:rsidRPr="00045EDC">
        <w:rPr>
          <w:color w:val="000000" w:themeColor="text1"/>
          <w:sz w:val="24"/>
          <w:szCs w:val="24"/>
        </w:rPr>
        <w:t xml:space="preserve">with </w:t>
      </w:r>
      <w:r w:rsidR="009C62B4" w:rsidRPr="00045EDC">
        <w:rPr>
          <w:color w:val="000000" w:themeColor="text1"/>
          <w:sz w:val="24"/>
          <w:szCs w:val="24"/>
        </w:rPr>
        <w:t xml:space="preserve">1.9% identifying as gay or lesbian and 2.3% identifying as bisexual. </w:t>
      </w:r>
      <w:r w:rsidR="00DD6096" w:rsidRPr="00045EDC">
        <w:rPr>
          <w:color w:val="000000" w:themeColor="text1"/>
          <w:sz w:val="24"/>
          <w:szCs w:val="24"/>
        </w:rPr>
        <w:t>This “</w:t>
      </w:r>
      <w:r w:rsidR="00C155CA" w:rsidRPr="00045EDC">
        <w:rPr>
          <w:color w:val="000000" w:themeColor="text1"/>
          <w:sz w:val="24"/>
          <w:szCs w:val="24"/>
        </w:rPr>
        <w:t>youngest age group was the only age group to have a larger proportion identifying as bisexual than gay or lesbian</w:t>
      </w:r>
      <w:r w:rsidR="00DD6096" w:rsidRPr="00045EDC">
        <w:rPr>
          <w:color w:val="000000" w:themeColor="text1"/>
          <w:sz w:val="24"/>
          <w:szCs w:val="24"/>
        </w:rPr>
        <w:t>” and “</w:t>
      </w:r>
      <w:r w:rsidR="00C155CA" w:rsidRPr="00045EDC">
        <w:rPr>
          <w:color w:val="000000" w:themeColor="text1"/>
          <w:sz w:val="24"/>
          <w:szCs w:val="24"/>
        </w:rPr>
        <w:t>the only age group for which more women (4.7%) identified as LGB than men (3.7%); this was driven by a larger proportion of women identifying as bisexual in this age group than in older age groups</w:t>
      </w:r>
      <w:r w:rsidR="00427727" w:rsidRPr="00045EDC">
        <w:rPr>
          <w:color w:val="000000" w:themeColor="text1"/>
          <w:sz w:val="24"/>
          <w:szCs w:val="24"/>
        </w:rPr>
        <w:t>”</w:t>
      </w:r>
      <w:r w:rsidR="00C155CA" w:rsidRPr="00045EDC">
        <w:rPr>
          <w:color w:val="000000" w:themeColor="text1"/>
          <w:sz w:val="24"/>
          <w:szCs w:val="24"/>
        </w:rPr>
        <w:t>.</w:t>
      </w:r>
      <w:r w:rsidR="00C37D29" w:rsidRPr="00045EDC">
        <w:rPr>
          <w:color w:val="000000" w:themeColor="text1"/>
          <w:sz w:val="24"/>
          <w:szCs w:val="24"/>
        </w:rPr>
        <w:t xml:space="preserve"> The 16 to 24 age </w:t>
      </w:r>
      <w:r w:rsidR="00C37D29" w:rsidRPr="00045EDC">
        <w:rPr>
          <w:color w:val="000000" w:themeColor="text1"/>
          <w:sz w:val="24"/>
          <w:szCs w:val="24"/>
        </w:rPr>
        <w:lastRenderedPageBreak/>
        <w:t xml:space="preserve">group </w:t>
      </w:r>
      <w:r w:rsidR="00EA1494" w:rsidRPr="00045EDC">
        <w:rPr>
          <w:color w:val="000000" w:themeColor="text1"/>
          <w:sz w:val="24"/>
          <w:szCs w:val="24"/>
        </w:rPr>
        <w:t xml:space="preserve">also </w:t>
      </w:r>
      <w:r w:rsidR="00C37D29" w:rsidRPr="00045EDC">
        <w:rPr>
          <w:color w:val="000000" w:themeColor="text1"/>
          <w:sz w:val="24"/>
          <w:szCs w:val="24"/>
        </w:rPr>
        <w:t>had the highest percentage of people identifying themselves in “other” (0.9%) and “don’t know or refuse” (5.3%) categories.</w:t>
      </w:r>
    </w:p>
    <w:p w14:paraId="304244D5" w14:textId="369FE05E" w:rsidR="001050ED" w:rsidRDefault="00B0084B" w:rsidP="001050ED">
      <w:pPr>
        <w:numPr>
          <w:ilvl w:val="0"/>
          <w:numId w:val="1"/>
        </w:numPr>
        <w:tabs>
          <w:tab w:val="left" w:pos="426"/>
        </w:tabs>
        <w:ind w:left="426" w:hanging="420"/>
        <w:rPr>
          <w:rFonts w:cstheme="minorHAnsi"/>
          <w:color w:val="000000" w:themeColor="text1"/>
          <w:sz w:val="24"/>
          <w:szCs w:val="24"/>
        </w:rPr>
      </w:pPr>
      <w:r w:rsidRPr="00045EDC">
        <w:rPr>
          <w:color w:val="000000" w:themeColor="text1"/>
          <w:sz w:val="24"/>
          <w:szCs w:val="24"/>
        </w:rPr>
        <w:t>In 2017, as in previous years, o</w:t>
      </w:r>
      <w:r w:rsidR="00087C2C" w:rsidRPr="00045EDC">
        <w:rPr>
          <w:color w:val="000000" w:themeColor="text1"/>
          <w:sz w:val="24"/>
          <w:szCs w:val="24"/>
        </w:rPr>
        <w:t>lder age groups were more likely to identify as heterosexual or straight. Only 0.7% of the population aged 65 years and over identified as LGB in 2017</w:t>
      </w:r>
      <w:r w:rsidRPr="00045EDC">
        <w:rPr>
          <w:color w:val="000000" w:themeColor="text1"/>
          <w:sz w:val="24"/>
          <w:szCs w:val="24"/>
        </w:rPr>
        <w:t xml:space="preserve">. </w:t>
      </w:r>
      <w:r w:rsidR="008E17BA" w:rsidRPr="00045EDC">
        <w:rPr>
          <w:color w:val="000000" w:themeColor="text1"/>
          <w:sz w:val="24"/>
          <w:szCs w:val="24"/>
        </w:rPr>
        <w:t>“</w:t>
      </w:r>
      <w:r w:rsidR="00087C2C" w:rsidRPr="00045EDC">
        <w:rPr>
          <w:color w:val="000000" w:themeColor="text1"/>
          <w:sz w:val="24"/>
          <w:szCs w:val="24"/>
        </w:rPr>
        <w:t>One reason for this pattern may be that younger people could be more likely to explore their sexuality combined with more social acceptability of sexual identities today and the ability to express these.</w:t>
      </w:r>
      <w:r w:rsidR="008E17BA" w:rsidRPr="00045EDC">
        <w:rPr>
          <w:color w:val="000000" w:themeColor="text1"/>
          <w:sz w:val="24"/>
          <w:szCs w:val="24"/>
        </w:rPr>
        <w:t>”</w:t>
      </w:r>
      <w:r w:rsidR="00245F75">
        <w:rPr>
          <w:color w:val="000000" w:themeColor="text1"/>
        </w:rPr>
        <w:t xml:space="preserve"> </w:t>
      </w:r>
      <w:r w:rsidR="00045EDC">
        <w:rPr>
          <w:color w:val="000000" w:themeColor="text1"/>
        </w:rPr>
        <w:t xml:space="preserve">Overall, </w:t>
      </w:r>
      <w:r w:rsidR="00243925" w:rsidRPr="00243925">
        <w:rPr>
          <w:rFonts w:cstheme="minorHAnsi"/>
          <w:color w:val="323132"/>
          <w:sz w:val="24"/>
          <w:szCs w:val="24"/>
        </w:rPr>
        <w:t xml:space="preserve">69.4% of people who identified themselves as LGB </w:t>
      </w:r>
      <w:r w:rsidR="00EB4AAD">
        <w:rPr>
          <w:rFonts w:cstheme="minorHAnsi"/>
          <w:color w:val="323132"/>
          <w:sz w:val="24"/>
          <w:szCs w:val="24"/>
        </w:rPr>
        <w:t>i</w:t>
      </w:r>
      <w:r w:rsidR="00036486">
        <w:rPr>
          <w:rFonts w:cstheme="minorHAnsi"/>
          <w:color w:val="323132"/>
          <w:sz w:val="24"/>
          <w:szCs w:val="24"/>
        </w:rPr>
        <w:t xml:space="preserve">n 2017 </w:t>
      </w:r>
      <w:r w:rsidR="00243925" w:rsidRPr="00243925">
        <w:rPr>
          <w:rFonts w:cstheme="minorHAnsi"/>
          <w:color w:val="323132"/>
          <w:sz w:val="24"/>
          <w:szCs w:val="24"/>
        </w:rPr>
        <w:t>had a marital status of single (never married or in a civil partnership).</w:t>
      </w:r>
    </w:p>
    <w:p w14:paraId="608CB91A" w14:textId="055B5ED7" w:rsidR="007319FE" w:rsidRDefault="0013597E" w:rsidP="007319FE">
      <w:pPr>
        <w:numPr>
          <w:ilvl w:val="0"/>
          <w:numId w:val="1"/>
        </w:numPr>
        <w:tabs>
          <w:tab w:val="left" w:pos="426"/>
        </w:tabs>
        <w:ind w:left="426" w:hanging="420"/>
        <w:rPr>
          <w:rFonts w:cstheme="minorHAnsi"/>
          <w:color w:val="000000" w:themeColor="text1"/>
          <w:sz w:val="24"/>
          <w:szCs w:val="24"/>
        </w:rPr>
      </w:pPr>
      <w:r w:rsidRPr="001050ED">
        <w:rPr>
          <w:color w:val="000000" w:themeColor="text1"/>
          <w:sz w:val="24"/>
          <w:szCs w:val="24"/>
        </w:rPr>
        <w:t>The Office for National Statistics has also published figures for Families and Households in 2017.</w:t>
      </w:r>
      <w:r w:rsidRPr="00045EDC">
        <w:rPr>
          <w:rFonts w:cs="Times New Roman"/>
          <w:color w:val="000000" w:themeColor="text1"/>
          <w:sz w:val="24"/>
          <w:szCs w:val="24"/>
          <w:vertAlign w:val="superscript"/>
        </w:rPr>
        <w:footnoteReference w:id="2"/>
      </w:r>
      <w:r w:rsidRPr="001050ED">
        <w:rPr>
          <w:color w:val="000000" w:themeColor="text1"/>
          <w:sz w:val="24"/>
          <w:szCs w:val="24"/>
        </w:rPr>
        <w:t xml:space="preserve"> In them, it defines a family as “a married, civil partnered or cohabiting couple with or without children, or a lone parent, with at least one child, who live at the same address. Children may be dependent or non-dependent”</w:t>
      </w:r>
      <w:r w:rsidR="00EB4AAD">
        <w:rPr>
          <w:color w:val="000000" w:themeColor="text1"/>
          <w:sz w:val="24"/>
          <w:szCs w:val="24"/>
        </w:rPr>
        <w:t>.</w:t>
      </w:r>
      <w:r w:rsidRPr="001050ED">
        <w:rPr>
          <w:color w:val="000000" w:themeColor="text1"/>
          <w:sz w:val="24"/>
          <w:szCs w:val="24"/>
        </w:rPr>
        <w:t xml:space="preserve"> They define a household as “one person living alone, or a group of people (not necessarily related) living at the same address who share cooking facilities and share a living room, sitting room or dining area. A household can consist of a single family, more than one family, or no families in the case of a group of unrelated people.” </w:t>
      </w:r>
    </w:p>
    <w:p w14:paraId="1D389EE9" w14:textId="7D8503CA" w:rsidR="0013597E" w:rsidRPr="00EB4AAD" w:rsidRDefault="0013597E" w:rsidP="00722ACA">
      <w:pPr>
        <w:numPr>
          <w:ilvl w:val="0"/>
          <w:numId w:val="1"/>
        </w:numPr>
        <w:tabs>
          <w:tab w:val="left" w:pos="426"/>
        </w:tabs>
        <w:spacing w:after="0"/>
        <w:ind w:left="426" w:hanging="420"/>
        <w:rPr>
          <w:rFonts w:cstheme="minorHAnsi"/>
          <w:color w:val="000000" w:themeColor="text1"/>
          <w:sz w:val="24"/>
          <w:szCs w:val="24"/>
        </w:rPr>
      </w:pPr>
      <w:r w:rsidRPr="007319FE">
        <w:rPr>
          <w:color w:val="000000" w:themeColor="text1"/>
          <w:sz w:val="24"/>
          <w:szCs w:val="24"/>
        </w:rPr>
        <w:t>The figures show the following:</w:t>
      </w:r>
    </w:p>
    <w:p w14:paraId="72EF4D72" w14:textId="77777777" w:rsidR="00EB4AAD" w:rsidRPr="007319FE" w:rsidRDefault="00EB4AAD" w:rsidP="001D5329">
      <w:pPr>
        <w:tabs>
          <w:tab w:val="left" w:pos="426"/>
        </w:tabs>
        <w:spacing w:after="0"/>
        <w:ind w:left="426"/>
        <w:rPr>
          <w:rFonts w:cstheme="minorHAnsi"/>
          <w:color w:val="000000" w:themeColor="text1"/>
          <w:sz w:val="24"/>
          <w:szCs w:val="24"/>
        </w:rPr>
      </w:pPr>
    </w:p>
    <w:tbl>
      <w:tblPr>
        <w:tblW w:w="10288" w:type="dxa"/>
        <w:tblInd w:w="-790" w:type="dxa"/>
        <w:tblLook w:val="04A0" w:firstRow="1" w:lastRow="0" w:firstColumn="1" w:lastColumn="0" w:noHBand="0" w:noVBand="1"/>
      </w:tblPr>
      <w:tblGrid>
        <w:gridCol w:w="827"/>
        <w:gridCol w:w="1669"/>
        <w:gridCol w:w="1642"/>
        <w:gridCol w:w="1642"/>
        <w:gridCol w:w="178"/>
        <w:gridCol w:w="1336"/>
        <w:gridCol w:w="306"/>
        <w:gridCol w:w="1256"/>
        <w:gridCol w:w="289"/>
        <w:gridCol w:w="1143"/>
      </w:tblGrid>
      <w:tr w:rsidR="0013597E" w:rsidRPr="0013597E" w14:paraId="73A6AD62" w14:textId="77777777" w:rsidTr="00E26C89">
        <w:trPr>
          <w:trHeight w:val="240"/>
        </w:trPr>
        <w:tc>
          <w:tcPr>
            <w:tcW w:w="10288" w:type="dxa"/>
            <w:gridSpan w:val="10"/>
            <w:tcBorders>
              <w:top w:val="nil"/>
              <w:left w:val="nil"/>
              <w:bottom w:val="nil"/>
              <w:right w:val="nil"/>
            </w:tcBorders>
            <w:shd w:val="clear" w:color="auto" w:fill="auto"/>
            <w:noWrap/>
            <w:vAlign w:val="bottom"/>
            <w:hideMark/>
          </w:tcPr>
          <w:p w14:paraId="2C988EAF" w14:textId="0FAA7EEF" w:rsidR="0013597E" w:rsidRPr="0013597E" w:rsidRDefault="0013597E" w:rsidP="00676FFA">
            <w:pPr>
              <w:tabs>
                <w:tab w:val="left" w:pos="426"/>
              </w:tabs>
              <w:ind w:left="426" w:hanging="420"/>
              <w:contextualSpacing/>
              <w:rPr>
                <w:b/>
                <w:color w:val="000000" w:themeColor="text1"/>
              </w:rPr>
            </w:pPr>
            <w:r w:rsidRPr="0013597E">
              <w:rPr>
                <w:b/>
                <w:color w:val="000000" w:themeColor="text1"/>
              </w:rPr>
              <w:t>Table 1: Detailed family types, UK, 2017</w:t>
            </w:r>
          </w:p>
        </w:tc>
      </w:tr>
      <w:tr w:rsidR="0013597E" w:rsidRPr="0013597E" w14:paraId="7B6CBF61" w14:textId="77777777" w:rsidTr="00E26C89">
        <w:trPr>
          <w:trHeight w:val="300"/>
        </w:trPr>
        <w:tc>
          <w:tcPr>
            <w:tcW w:w="10288" w:type="dxa"/>
            <w:gridSpan w:val="10"/>
            <w:tcBorders>
              <w:top w:val="nil"/>
              <w:left w:val="nil"/>
              <w:bottom w:val="nil"/>
              <w:right w:val="nil"/>
            </w:tcBorders>
            <w:shd w:val="clear" w:color="auto" w:fill="auto"/>
            <w:noWrap/>
            <w:vAlign w:val="bottom"/>
            <w:hideMark/>
          </w:tcPr>
          <w:p w14:paraId="5C567253" w14:textId="11A3465D" w:rsidR="0013597E" w:rsidRPr="0013597E" w:rsidRDefault="00CF577D" w:rsidP="00B30A4B">
            <w:pPr>
              <w:tabs>
                <w:tab w:val="left" w:pos="426"/>
              </w:tabs>
              <w:ind w:left="426" w:hanging="420"/>
              <w:jc w:val="cente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13597E" w:rsidRPr="0013597E">
              <w:rPr>
                <w:color w:val="000000" w:themeColor="text1"/>
              </w:rPr>
              <w:t>Thousands</w:t>
            </w:r>
          </w:p>
        </w:tc>
      </w:tr>
      <w:tr w:rsidR="0013597E" w:rsidRPr="0013597E" w14:paraId="639A8E1F" w14:textId="77777777" w:rsidTr="00E26C89">
        <w:trPr>
          <w:trHeight w:val="240"/>
        </w:trPr>
        <w:tc>
          <w:tcPr>
            <w:tcW w:w="5958" w:type="dxa"/>
            <w:gridSpan w:val="5"/>
            <w:vMerge w:val="restart"/>
            <w:tcBorders>
              <w:top w:val="single" w:sz="4" w:space="0" w:color="auto"/>
              <w:left w:val="nil"/>
              <w:bottom w:val="single" w:sz="4" w:space="0" w:color="000000" w:themeColor="text1"/>
              <w:right w:val="nil"/>
            </w:tcBorders>
            <w:shd w:val="clear" w:color="auto" w:fill="auto"/>
            <w:vAlign w:val="center"/>
            <w:hideMark/>
          </w:tcPr>
          <w:p w14:paraId="15F6D54A" w14:textId="77777777" w:rsidR="0013597E" w:rsidRPr="0013597E" w:rsidRDefault="0013597E" w:rsidP="00676FFA">
            <w:pPr>
              <w:tabs>
                <w:tab w:val="left" w:pos="426"/>
              </w:tabs>
              <w:ind w:left="426" w:hanging="420"/>
              <w:rPr>
                <w:color w:val="000000" w:themeColor="text1"/>
              </w:rPr>
            </w:pPr>
            <w:r w:rsidRPr="0013597E">
              <w:rPr>
                <w:color w:val="000000" w:themeColor="text1"/>
              </w:rPr>
              <w:t>Family type</w:t>
            </w:r>
          </w:p>
        </w:tc>
        <w:tc>
          <w:tcPr>
            <w:tcW w:w="4330" w:type="dxa"/>
            <w:gridSpan w:val="5"/>
            <w:tcBorders>
              <w:top w:val="single" w:sz="4" w:space="0" w:color="auto"/>
              <w:left w:val="nil"/>
              <w:bottom w:val="single" w:sz="4" w:space="0" w:color="auto"/>
              <w:right w:val="nil"/>
            </w:tcBorders>
            <w:shd w:val="clear" w:color="auto" w:fill="auto"/>
            <w:hideMark/>
          </w:tcPr>
          <w:p w14:paraId="396144D6" w14:textId="77777777" w:rsidR="0013597E" w:rsidRPr="0013597E" w:rsidRDefault="0013597E" w:rsidP="00E26C89">
            <w:pPr>
              <w:tabs>
                <w:tab w:val="left" w:pos="426"/>
              </w:tabs>
              <w:ind w:left="426" w:right="267" w:hanging="420"/>
              <w:rPr>
                <w:color w:val="000000" w:themeColor="text1"/>
              </w:rPr>
            </w:pPr>
            <w:r w:rsidRPr="0013597E">
              <w:rPr>
                <w:color w:val="000000" w:themeColor="text1"/>
              </w:rPr>
              <w:t>2017</w:t>
            </w:r>
          </w:p>
        </w:tc>
      </w:tr>
      <w:tr w:rsidR="0013597E" w:rsidRPr="0013597E" w14:paraId="07E638C0" w14:textId="77777777" w:rsidTr="00E26C89">
        <w:trPr>
          <w:trHeight w:val="450"/>
        </w:trPr>
        <w:tc>
          <w:tcPr>
            <w:tcW w:w="5958" w:type="dxa"/>
            <w:gridSpan w:val="5"/>
            <w:vMerge/>
            <w:tcBorders>
              <w:top w:val="single" w:sz="4" w:space="0" w:color="auto"/>
              <w:left w:val="nil"/>
              <w:bottom w:val="single" w:sz="4" w:space="0" w:color="000000"/>
              <w:right w:val="nil"/>
            </w:tcBorders>
            <w:shd w:val="clear" w:color="auto" w:fill="auto"/>
            <w:vAlign w:val="center"/>
            <w:hideMark/>
          </w:tcPr>
          <w:p w14:paraId="3B4B26EF" w14:textId="77777777" w:rsidR="0013597E" w:rsidRPr="0013597E" w:rsidRDefault="0013597E" w:rsidP="00676FFA">
            <w:pPr>
              <w:tabs>
                <w:tab w:val="left" w:pos="426"/>
              </w:tabs>
              <w:ind w:left="426" w:hanging="420"/>
              <w:rPr>
                <w:color w:val="000000" w:themeColor="text1"/>
              </w:rPr>
            </w:pPr>
          </w:p>
        </w:tc>
        <w:tc>
          <w:tcPr>
            <w:tcW w:w="1642" w:type="dxa"/>
            <w:gridSpan w:val="2"/>
            <w:vMerge w:val="restart"/>
            <w:tcBorders>
              <w:top w:val="nil"/>
              <w:left w:val="nil"/>
              <w:bottom w:val="single" w:sz="4" w:space="0" w:color="000000" w:themeColor="text1"/>
              <w:right w:val="nil"/>
            </w:tcBorders>
            <w:shd w:val="clear" w:color="auto" w:fill="auto"/>
            <w:vAlign w:val="center"/>
            <w:hideMark/>
          </w:tcPr>
          <w:p w14:paraId="4D217956" w14:textId="77777777" w:rsidR="0013597E" w:rsidRPr="0013597E" w:rsidRDefault="0013597E" w:rsidP="00B30A4B">
            <w:pPr>
              <w:tabs>
                <w:tab w:val="left" w:pos="6"/>
              </w:tabs>
              <w:ind w:firstLine="6"/>
              <w:rPr>
                <w:color w:val="000000" w:themeColor="text1"/>
              </w:rPr>
            </w:pPr>
            <w:r w:rsidRPr="0013597E">
              <w:rPr>
                <w:color w:val="000000" w:themeColor="text1"/>
              </w:rPr>
              <w:t xml:space="preserve">With </w:t>
            </w:r>
            <w:r w:rsidRPr="0013597E">
              <w:rPr>
                <w:color w:val="000000" w:themeColor="text1"/>
              </w:rPr>
              <w:br/>
              <w:t xml:space="preserve">dependent </w:t>
            </w:r>
            <w:r w:rsidRPr="0013597E">
              <w:rPr>
                <w:color w:val="000000" w:themeColor="text1"/>
              </w:rPr>
              <w:br/>
              <w:t>children</w:t>
            </w:r>
          </w:p>
        </w:tc>
        <w:tc>
          <w:tcPr>
            <w:tcW w:w="1652" w:type="dxa"/>
            <w:gridSpan w:val="2"/>
            <w:vMerge w:val="restart"/>
            <w:tcBorders>
              <w:top w:val="nil"/>
              <w:left w:val="nil"/>
              <w:bottom w:val="single" w:sz="4" w:space="0" w:color="000000" w:themeColor="text1"/>
              <w:right w:val="nil"/>
            </w:tcBorders>
            <w:shd w:val="clear" w:color="auto" w:fill="auto"/>
            <w:vAlign w:val="center"/>
            <w:hideMark/>
          </w:tcPr>
          <w:p w14:paraId="1838C245" w14:textId="77777777" w:rsidR="0013597E" w:rsidRPr="0013597E" w:rsidRDefault="0013597E" w:rsidP="00B30A4B">
            <w:pPr>
              <w:tabs>
                <w:tab w:val="left" w:pos="31"/>
              </w:tabs>
              <w:ind w:left="31" w:hanging="25"/>
              <w:rPr>
                <w:color w:val="000000" w:themeColor="text1"/>
              </w:rPr>
            </w:pPr>
            <w:r w:rsidRPr="0013597E">
              <w:rPr>
                <w:color w:val="000000" w:themeColor="text1"/>
              </w:rPr>
              <w:t xml:space="preserve">Without </w:t>
            </w:r>
            <w:r w:rsidRPr="0013597E">
              <w:rPr>
                <w:color w:val="000000" w:themeColor="text1"/>
              </w:rPr>
              <w:br/>
              <w:t xml:space="preserve">dependent </w:t>
            </w:r>
            <w:r w:rsidRPr="0013597E">
              <w:rPr>
                <w:color w:val="000000" w:themeColor="text1"/>
              </w:rPr>
              <w:br/>
              <w:t>children</w:t>
            </w:r>
            <w:r w:rsidRPr="0013597E">
              <w:rPr>
                <w:color w:val="000000" w:themeColor="text1"/>
                <w:vertAlign w:val="superscript"/>
              </w:rPr>
              <w:t>2</w:t>
            </w:r>
          </w:p>
        </w:tc>
        <w:tc>
          <w:tcPr>
            <w:tcW w:w="1036" w:type="dxa"/>
            <w:vMerge w:val="restart"/>
            <w:tcBorders>
              <w:top w:val="nil"/>
              <w:left w:val="nil"/>
              <w:bottom w:val="single" w:sz="4" w:space="0" w:color="000000" w:themeColor="text1"/>
              <w:right w:val="nil"/>
            </w:tcBorders>
            <w:shd w:val="clear" w:color="auto" w:fill="auto"/>
            <w:vAlign w:val="center"/>
            <w:hideMark/>
          </w:tcPr>
          <w:p w14:paraId="5481855E" w14:textId="77777777" w:rsidR="0013597E" w:rsidRPr="0013597E" w:rsidRDefault="0013597E" w:rsidP="00B30A4B">
            <w:pPr>
              <w:tabs>
                <w:tab w:val="left" w:pos="6"/>
              </w:tabs>
              <w:rPr>
                <w:color w:val="000000" w:themeColor="text1"/>
              </w:rPr>
            </w:pPr>
            <w:r w:rsidRPr="0013597E">
              <w:rPr>
                <w:color w:val="000000" w:themeColor="text1"/>
              </w:rPr>
              <w:t xml:space="preserve">Total </w:t>
            </w:r>
            <w:r w:rsidRPr="0013597E">
              <w:rPr>
                <w:color w:val="000000" w:themeColor="text1"/>
              </w:rPr>
              <w:br/>
              <w:t>families</w:t>
            </w:r>
          </w:p>
        </w:tc>
      </w:tr>
      <w:tr w:rsidR="0013597E" w:rsidRPr="0013597E" w14:paraId="12452B86" w14:textId="77777777" w:rsidTr="00E26C89">
        <w:trPr>
          <w:trHeight w:val="510"/>
        </w:trPr>
        <w:tc>
          <w:tcPr>
            <w:tcW w:w="5958" w:type="dxa"/>
            <w:gridSpan w:val="5"/>
            <w:vMerge/>
            <w:tcBorders>
              <w:top w:val="single" w:sz="4" w:space="0" w:color="auto"/>
              <w:left w:val="nil"/>
              <w:bottom w:val="single" w:sz="4" w:space="0" w:color="000000"/>
              <w:right w:val="nil"/>
            </w:tcBorders>
            <w:shd w:val="clear" w:color="auto" w:fill="auto"/>
            <w:vAlign w:val="center"/>
            <w:hideMark/>
          </w:tcPr>
          <w:p w14:paraId="261BC9CF" w14:textId="77777777" w:rsidR="0013597E" w:rsidRPr="0013597E" w:rsidRDefault="0013597E" w:rsidP="00676FFA">
            <w:pPr>
              <w:tabs>
                <w:tab w:val="left" w:pos="426"/>
              </w:tabs>
              <w:ind w:left="426" w:hanging="420"/>
              <w:rPr>
                <w:color w:val="000000" w:themeColor="text1"/>
              </w:rPr>
            </w:pPr>
          </w:p>
        </w:tc>
        <w:tc>
          <w:tcPr>
            <w:tcW w:w="1642" w:type="dxa"/>
            <w:gridSpan w:val="2"/>
            <w:vMerge/>
            <w:tcBorders>
              <w:top w:val="nil"/>
              <w:left w:val="nil"/>
              <w:bottom w:val="single" w:sz="4" w:space="0" w:color="000000"/>
              <w:right w:val="nil"/>
            </w:tcBorders>
            <w:shd w:val="clear" w:color="auto" w:fill="auto"/>
            <w:vAlign w:val="center"/>
            <w:hideMark/>
          </w:tcPr>
          <w:p w14:paraId="1319DC8C" w14:textId="77777777" w:rsidR="0013597E" w:rsidRPr="0013597E" w:rsidRDefault="0013597E" w:rsidP="00676FFA">
            <w:pPr>
              <w:tabs>
                <w:tab w:val="left" w:pos="426"/>
              </w:tabs>
              <w:ind w:left="426" w:hanging="420"/>
              <w:rPr>
                <w:color w:val="000000" w:themeColor="text1"/>
              </w:rPr>
            </w:pPr>
          </w:p>
        </w:tc>
        <w:tc>
          <w:tcPr>
            <w:tcW w:w="1652" w:type="dxa"/>
            <w:gridSpan w:val="2"/>
            <w:vMerge/>
            <w:tcBorders>
              <w:top w:val="nil"/>
              <w:left w:val="nil"/>
              <w:bottom w:val="single" w:sz="4" w:space="0" w:color="000000"/>
              <w:right w:val="nil"/>
            </w:tcBorders>
            <w:shd w:val="clear" w:color="auto" w:fill="auto"/>
            <w:vAlign w:val="center"/>
            <w:hideMark/>
          </w:tcPr>
          <w:p w14:paraId="622EB23C" w14:textId="77777777" w:rsidR="0013597E" w:rsidRPr="0013597E" w:rsidRDefault="0013597E" w:rsidP="00676FFA">
            <w:pPr>
              <w:tabs>
                <w:tab w:val="left" w:pos="426"/>
              </w:tabs>
              <w:ind w:left="426" w:hanging="420"/>
              <w:rPr>
                <w:color w:val="000000" w:themeColor="text1"/>
              </w:rPr>
            </w:pPr>
          </w:p>
        </w:tc>
        <w:tc>
          <w:tcPr>
            <w:tcW w:w="1036" w:type="dxa"/>
            <w:vMerge/>
            <w:tcBorders>
              <w:top w:val="nil"/>
              <w:left w:val="nil"/>
              <w:bottom w:val="single" w:sz="4" w:space="0" w:color="000000"/>
              <w:right w:val="nil"/>
            </w:tcBorders>
            <w:shd w:val="clear" w:color="auto" w:fill="auto"/>
            <w:vAlign w:val="center"/>
            <w:hideMark/>
          </w:tcPr>
          <w:p w14:paraId="34789DA9" w14:textId="77777777" w:rsidR="0013597E" w:rsidRPr="0013597E" w:rsidRDefault="0013597E" w:rsidP="00676FFA">
            <w:pPr>
              <w:tabs>
                <w:tab w:val="left" w:pos="426"/>
              </w:tabs>
              <w:ind w:left="426" w:hanging="420"/>
              <w:rPr>
                <w:color w:val="000000" w:themeColor="text1"/>
              </w:rPr>
            </w:pPr>
          </w:p>
        </w:tc>
      </w:tr>
      <w:tr w:rsidR="0013597E" w:rsidRPr="0013597E" w14:paraId="465E534D" w14:textId="77777777" w:rsidTr="00E26C89">
        <w:trPr>
          <w:trHeight w:val="270"/>
        </w:trPr>
        <w:tc>
          <w:tcPr>
            <w:tcW w:w="5958" w:type="dxa"/>
            <w:gridSpan w:val="5"/>
            <w:tcBorders>
              <w:top w:val="nil"/>
              <w:left w:val="nil"/>
              <w:bottom w:val="nil"/>
              <w:right w:val="nil"/>
            </w:tcBorders>
            <w:shd w:val="clear" w:color="auto" w:fill="auto"/>
            <w:hideMark/>
          </w:tcPr>
          <w:p w14:paraId="02A35FF7"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Married couple family</w:t>
            </w:r>
            <w:r w:rsidRPr="0013597E">
              <w:rPr>
                <w:color w:val="000000" w:themeColor="text1"/>
                <w:vertAlign w:val="superscript"/>
              </w:rPr>
              <w:t>1</w:t>
            </w:r>
          </w:p>
        </w:tc>
        <w:tc>
          <w:tcPr>
            <w:tcW w:w="1642" w:type="dxa"/>
            <w:gridSpan w:val="2"/>
            <w:tcBorders>
              <w:top w:val="nil"/>
              <w:left w:val="nil"/>
              <w:bottom w:val="nil"/>
              <w:right w:val="nil"/>
            </w:tcBorders>
            <w:shd w:val="clear" w:color="auto" w:fill="auto"/>
            <w:hideMark/>
          </w:tcPr>
          <w:p w14:paraId="50A5479E"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4,944</w:t>
            </w:r>
          </w:p>
        </w:tc>
        <w:tc>
          <w:tcPr>
            <w:tcW w:w="1652" w:type="dxa"/>
            <w:gridSpan w:val="2"/>
            <w:tcBorders>
              <w:top w:val="nil"/>
              <w:left w:val="nil"/>
              <w:bottom w:val="nil"/>
              <w:right w:val="nil"/>
            </w:tcBorders>
            <w:shd w:val="clear" w:color="auto" w:fill="auto"/>
            <w:hideMark/>
          </w:tcPr>
          <w:p w14:paraId="6FB95DC7"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7,890</w:t>
            </w:r>
          </w:p>
        </w:tc>
        <w:tc>
          <w:tcPr>
            <w:tcW w:w="1036" w:type="dxa"/>
            <w:tcBorders>
              <w:top w:val="nil"/>
              <w:left w:val="nil"/>
              <w:bottom w:val="nil"/>
              <w:right w:val="nil"/>
            </w:tcBorders>
            <w:shd w:val="clear" w:color="auto" w:fill="auto"/>
            <w:hideMark/>
          </w:tcPr>
          <w:p w14:paraId="354F82EB"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12,834</w:t>
            </w:r>
          </w:p>
        </w:tc>
      </w:tr>
      <w:tr w:rsidR="0013597E" w:rsidRPr="0013597E" w14:paraId="21BB77E5" w14:textId="77777777" w:rsidTr="00E26C89">
        <w:trPr>
          <w:trHeight w:val="240"/>
        </w:trPr>
        <w:tc>
          <w:tcPr>
            <w:tcW w:w="5958" w:type="dxa"/>
            <w:gridSpan w:val="5"/>
            <w:tcBorders>
              <w:top w:val="nil"/>
              <w:left w:val="nil"/>
              <w:bottom w:val="nil"/>
              <w:right w:val="nil"/>
            </w:tcBorders>
            <w:shd w:val="clear" w:color="auto" w:fill="auto"/>
            <w:hideMark/>
          </w:tcPr>
          <w:p w14:paraId="2BAE9A53"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Opposite sex married couple family </w:t>
            </w:r>
          </w:p>
        </w:tc>
        <w:tc>
          <w:tcPr>
            <w:tcW w:w="1642" w:type="dxa"/>
            <w:gridSpan w:val="2"/>
            <w:tcBorders>
              <w:top w:val="nil"/>
              <w:left w:val="nil"/>
              <w:bottom w:val="nil"/>
              <w:right w:val="nil"/>
            </w:tcBorders>
            <w:shd w:val="clear" w:color="auto" w:fill="auto"/>
            <w:hideMark/>
          </w:tcPr>
          <w:p w14:paraId="64632476"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4,938</w:t>
            </w:r>
          </w:p>
        </w:tc>
        <w:tc>
          <w:tcPr>
            <w:tcW w:w="1652" w:type="dxa"/>
            <w:gridSpan w:val="2"/>
            <w:tcBorders>
              <w:top w:val="nil"/>
              <w:left w:val="nil"/>
              <w:bottom w:val="nil"/>
              <w:right w:val="nil"/>
            </w:tcBorders>
            <w:shd w:val="clear" w:color="auto" w:fill="auto"/>
            <w:hideMark/>
          </w:tcPr>
          <w:p w14:paraId="4A7AB98E"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7,862</w:t>
            </w:r>
          </w:p>
        </w:tc>
        <w:tc>
          <w:tcPr>
            <w:tcW w:w="1036" w:type="dxa"/>
            <w:tcBorders>
              <w:top w:val="nil"/>
              <w:left w:val="nil"/>
              <w:bottom w:val="nil"/>
              <w:right w:val="nil"/>
            </w:tcBorders>
            <w:shd w:val="clear" w:color="auto" w:fill="auto"/>
            <w:hideMark/>
          </w:tcPr>
          <w:p w14:paraId="612D4BA2"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12,800</w:t>
            </w:r>
          </w:p>
        </w:tc>
      </w:tr>
      <w:tr w:rsidR="0013597E" w:rsidRPr="0013597E" w14:paraId="066DF2A7" w14:textId="77777777" w:rsidTr="00E26C89">
        <w:trPr>
          <w:trHeight w:val="240"/>
        </w:trPr>
        <w:tc>
          <w:tcPr>
            <w:tcW w:w="5958" w:type="dxa"/>
            <w:gridSpan w:val="5"/>
            <w:tcBorders>
              <w:top w:val="nil"/>
              <w:left w:val="nil"/>
              <w:bottom w:val="nil"/>
              <w:right w:val="nil"/>
            </w:tcBorders>
            <w:shd w:val="clear" w:color="auto" w:fill="auto"/>
            <w:hideMark/>
          </w:tcPr>
          <w:p w14:paraId="2FF35134"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Same sex married couple family</w:t>
            </w:r>
          </w:p>
        </w:tc>
        <w:tc>
          <w:tcPr>
            <w:tcW w:w="1642" w:type="dxa"/>
            <w:gridSpan w:val="2"/>
            <w:tcBorders>
              <w:top w:val="nil"/>
              <w:left w:val="nil"/>
              <w:bottom w:val="nil"/>
              <w:right w:val="nil"/>
            </w:tcBorders>
            <w:shd w:val="clear" w:color="auto" w:fill="auto"/>
            <w:hideMark/>
          </w:tcPr>
          <w:p w14:paraId="247EF688"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6</w:t>
            </w:r>
          </w:p>
        </w:tc>
        <w:tc>
          <w:tcPr>
            <w:tcW w:w="1652" w:type="dxa"/>
            <w:gridSpan w:val="2"/>
            <w:tcBorders>
              <w:top w:val="nil"/>
              <w:left w:val="nil"/>
              <w:bottom w:val="nil"/>
              <w:right w:val="nil"/>
            </w:tcBorders>
            <w:shd w:val="clear" w:color="auto" w:fill="auto"/>
            <w:hideMark/>
          </w:tcPr>
          <w:p w14:paraId="35C4938D"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28</w:t>
            </w:r>
          </w:p>
        </w:tc>
        <w:tc>
          <w:tcPr>
            <w:tcW w:w="1036" w:type="dxa"/>
            <w:tcBorders>
              <w:top w:val="nil"/>
              <w:left w:val="nil"/>
              <w:bottom w:val="nil"/>
              <w:right w:val="nil"/>
            </w:tcBorders>
            <w:shd w:val="clear" w:color="auto" w:fill="auto"/>
            <w:hideMark/>
          </w:tcPr>
          <w:p w14:paraId="515D6163"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34</w:t>
            </w:r>
          </w:p>
        </w:tc>
      </w:tr>
      <w:tr w:rsidR="0013597E" w:rsidRPr="0013597E" w14:paraId="5C33DA6B" w14:textId="77777777" w:rsidTr="00E26C89">
        <w:trPr>
          <w:trHeight w:val="270"/>
        </w:trPr>
        <w:tc>
          <w:tcPr>
            <w:tcW w:w="5958" w:type="dxa"/>
            <w:gridSpan w:val="5"/>
            <w:tcBorders>
              <w:top w:val="nil"/>
              <w:left w:val="nil"/>
              <w:bottom w:val="nil"/>
              <w:right w:val="nil"/>
            </w:tcBorders>
            <w:shd w:val="clear" w:color="auto" w:fill="auto"/>
            <w:hideMark/>
          </w:tcPr>
          <w:p w14:paraId="4302A26C"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Civil partner couple family</w:t>
            </w:r>
            <w:r w:rsidRPr="0013597E">
              <w:rPr>
                <w:color w:val="000000" w:themeColor="text1"/>
                <w:vertAlign w:val="superscript"/>
              </w:rPr>
              <w:t>3</w:t>
            </w:r>
          </w:p>
        </w:tc>
        <w:tc>
          <w:tcPr>
            <w:tcW w:w="1642" w:type="dxa"/>
            <w:gridSpan w:val="2"/>
            <w:tcBorders>
              <w:top w:val="nil"/>
              <w:left w:val="nil"/>
              <w:bottom w:val="nil"/>
              <w:right w:val="nil"/>
            </w:tcBorders>
            <w:shd w:val="clear" w:color="auto" w:fill="auto"/>
            <w:hideMark/>
          </w:tcPr>
          <w:p w14:paraId="571DD416"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8</w:t>
            </w:r>
          </w:p>
        </w:tc>
        <w:tc>
          <w:tcPr>
            <w:tcW w:w="1652" w:type="dxa"/>
            <w:gridSpan w:val="2"/>
            <w:tcBorders>
              <w:top w:val="nil"/>
              <w:left w:val="nil"/>
              <w:bottom w:val="nil"/>
              <w:right w:val="nil"/>
            </w:tcBorders>
            <w:shd w:val="clear" w:color="auto" w:fill="auto"/>
            <w:hideMark/>
          </w:tcPr>
          <w:p w14:paraId="2E5E3B71"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47</w:t>
            </w:r>
          </w:p>
        </w:tc>
        <w:tc>
          <w:tcPr>
            <w:tcW w:w="1036" w:type="dxa"/>
            <w:tcBorders>
              <w:top w:val="nil"/>
              <w:left w:val="nil"/>
              <w:bottom w:val="nil"/>
              <w:right w:val="nil"/>
            </w:tcBorders>
            <w:shd w:val="clear" w:color="auto" w:fill="auto"/>
            <w:hideMark/>
          </w:tcPr>
          <w:p w14:paraId="701B23A8"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55</w:t>
            </w:r>
          </w:p>
        </w:tc>
      </w:tr>
      <w:tr w:rsidR="0013597E" w:rsidRPr="0013597E" w14:paraId="257613CF" w14:textId="77777777" w:rsidTr="00E26C89">
        <w:trPr>
          <w:trHeight w:val="270"/>
        </w:trPr>
        <w:tc>
          <w:tcPr>
            <w:tcW w:w="5958" w:type="dxa"/>
            <w:gridSpan w:val="5"/>
            <w:tcBorders>
              <w:top w:val="nil"/>
              <w:left w:val="nil"/>
              <w:bottom w:val="nil"/>
              <w:right w:val="nil"/>
            </w:tcBorders>
            <w:shd w:val="clear" w:color="auto" w:fill="auto"/>
            <w:hideMark/>
          </w:tcPr>
          <w:p w14:paraId="4C4F1469"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Cohabiting couple family</w:t>
            </w:r>
            <w:r w:rsidRPr="0013597E">
              <w:rPr>
                <w:color w:val="000000" w:themeColor="text1"/>
                <w:vertAlign w:val="superscript"/>
              </w:rPr>
              <w:t>1</w:t>
            </w:r>
          </w:p>
        </w:tc>
        <w:tc>
          <w:tcPr>
            <w:tcW w:w="1642" w:type="dxa"/>
            <w:gridSpan w:val="2"/>
            <w:tcBorders>
              <w:top w:val="nil"/>
              <w:left w:val="nil"/>
              <w:bottom w:val="nil"/>
              <w:right w:val="nil"/>
            </w:tcBorders>
            <w:shd w:val="clear" w:color="auto" w:fill="auto"/>
            <w:hideMark/>
          </w:tcPr>
          <w:p w14:paraId="10CEDC4F"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1,251</w:t>
            </w:r>
          </w:p>
        </w:tc>
        <w:tc>
          <w:tcPr>
            <w:tcW w:w="1652" w:type="dxa"/>
            <w:gridSpan w:val="2"/>
            <w:tcBorders>
              <w:top w:val="nil"/>
              <w:left w:val="nil"/>
              <w:bottom w:val="nil"/>
              <w:right w:val="nil"/>
            </w:tcBorders>
            <w:shd w:val="clear" w:color="auto" w:fill="auto"/>
            <w:hideMark/>
          </w:tcPr>
          <w:p w14:paraId="6AE68635" w14:textId="77777777" w:rsidR="0013597E" w:rsidRPr="0013597E" w:rsidRDefault="0013597E" w:rsidP="00B30C6F">
            <w:pPr>
              <w:tabs>
                <w:tab w:val="left" w:pos="6"/>
              </w:tabs>
              <w:spacing w:after="0"/>
              <w:ind w:left="31" w:hanging="25"/>
              <w:rPr>
                <w:color w:val="000000" w:themeColor="text1"/>
              </w:rPr>
            </w:pPr>
            <w:r w:rsidRPr="0013597E">
              <w:rPr>
                <w:color w:val="000000" w:themeColor="text1"/>
              </w:rPr>
              <w:t>2,040</w:t>
            </w:r>
          </w:p>
        </w:tc>
        <w:tc>
          <w:tcPr>
            <w:tcW w:w="1036" w:type="dxa"/>
            <w:tcBorders>
              <w:top w:val="nil"/>
              <w:left w:val="nil"/>
              <w:bottom w:val="nil"/>
              <w:right w:val="nil"/>
            </w:tcBorders>
            <w:shd w:val="clear" w:color="auto" w:fill="auto"/>
            <w:hideMark/>
          </w:tcPr>
          <w:p w14:paraId="28B79258"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3,291</w:t>
            </w:r>
          </w:p>
        </w:tc>
      </w:tr>
      <w:tr w:rsidR="0013597E" w:rsidRPr="0013597E" w14:paraId="47EA4FA4" w14:textId="77777777" w:rsidTr="00E26C89">
        <w:trPr>
          <w:trHeight w:val="240"/>
        </w:trPr>
        <w:tc>
          <w:tcPr>
            <w:tcW w:w="5958" w:type="dxa"/>
            <w:gridSpan w:val="5"/>
            <w:tcBorders>
              <w:top w:val="nil"/>
              <w:left w:val="nil"/>
              <w:bottom w:val="nil"/>
              <w:right w:val="nil"/>
            </w:tcBorders>
            <w:shd w:val="clear" w:color="auto" w:fill="auto"/>
            <w:hideMark/>
          </w:tcPr>
          <w:p w14:paraId="3DE2BDDF"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Opposite sex cohabiting couple family</w:t>
            </w:r>
          </w:p>
        </w:tc>
        <w:tc>
          <w:tcPr>
            <w:tcW w:w="1642" w:type="dxa"/>
            <w:gridSpan w:val="2"/>
            <w:tcBorders>
              <w:top w:val="nil"/>
              <w:left w:val="nil"/>
              <w:bottom w:val="nil"/>
              <w:right w:val="nil"/>
            </w:tcBorders>
            <w:shd w:val="clear" w:color="auto" w:fill="auto"/>
            <w:hideMark/>
          </w:tcPr>
          <w:p w14:paraId="3E9AED67"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1,246</w:t>
            </w:r>
          </w:p>
        </w:tc>
        <w:tc>
          <w:tcPr>
            <w:tcW w:w="1652" w:type="dxa"/>
            <w:gridSpan w:val="2"/>
            <w:tcBorders>
              <w:top w:val="nil"/>
              <w:left w:val="nil"/>
              <w:bottom w:val="nil"/>
              <w:right w:val="nil"/>
            </w:tcBorders>
            <w:shd w:val="clear" w:color="auto" w:fill="auto"/>
            <w:hideMark/>
          </w:tcPr>
          <w:p w14:paraId="589256A4"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1,943</w:t>
            </w:r>
          </w:p>
        </w:tc>
        <w:tc>
          <w:tcPr>
            <w:tcW w:w="1036" w:type="dxa"/>
            <w:tcBorders>
              <w:top w:val="nil"/>
              <w:left w:val="nil"/>
              <w:bottom w:val="nil"/>
              <w:right w:val="nil"/>
            </w:tcBorders>
            <w:shd w:val="clear" w:color="auto" w:fill="auto"/>
            <w:hideMark/>
          </w:tcPr>
          <w:p w14:paraId="0112C3B3"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3,190</w:t>
            </w:r>
          </w:p>
        </w:tc>
      </w:tr>
      <w:tr w:rsidR="0013597E" w:rsidRPr="0013597E" w14:paraId="06D82EEF" w14:textId="77777777" w:rsidTr="00E26C89">
        <w:trPr>
          <w:trHeight w:val="240"/>
        </w:trPr>
        <w:tc>
          <w:tcPr>
            <w:tcW w:w="5958" w:type="dxa"/>
            <w:gridSpan w:val="5"/>
            <w:tcBorders>
              <w:top w:val="nil"/>
              <w:left w:val="nil"/>
              <w:bottom w:val="nil"/>
              <w:right w:val="nil"/>
            </w:tcBorders>
            <w:shd w:val="clear" w:color="auto" w:fill="auto"/>
            <w:hideMark/>
          </w:tcPr>
          <w:p w14:paraId="02FE2777"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Same sex cohabiting couple family</w:t>
            </w:r>
          </w:p>
        </w:tc>
        <w:tc>
          <w:tcPr>
            <w:tcW w:w="1642" w:type="dxa"/>
            <w:gridSpan w:val="2"/>
            <w:tcBorders>
              <w:top w:val="nil"/>
              <w:left w:val="nil"/>
              <w:bottom w:val="nil"/>
              <w:right w:val="nil"/>
            </w:tcBorders>
            <w:shd w:val="clear" w:color="auto" w:fill="auto"/>
            <w:hideMark/>
          </w:tcPr>
          <w:p w14:paraId="6B3CB9D9"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4</w:t>
            </w:r>
          </w:p>
        </w:tc>
        <w:tc>
          <w:tcPr>
            <w:tcW w:w="1652" w:type="dxa"/>
            <w:gridSpan w:val="2"/>
            <w:tcBorders>
              <w:top w:val="nil"/>
              <w:left w:val="nil"/>
              <w:bottom w:val="nil"/>
              <w:right w:val="nil"/>
            </w:tcBorders>
            <w:shd w:val="clear" w:color="auto" w:fill="auto"/>
            <w:hideMark/>
          </w:tcPr>
          <w:p w14:paraId="13B2ADD4"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97</w:t>
            </w:r>
          </w:p>
        </w:tc>
        <w:tc>
          <w:tcPr>
            <w:tcW w:w="1036" w:type="dxa"/>
            <w:tcBorders>
              <w:top w:val="nil"/>
              <w:left w:val="nil"/>
              <w:bottom w:val="nil"/>
              <w:right w:val="nil"/>
            </w:tcBorders>
            <w:shd w:val="clear" w:color="auto" w:fill="auto"/>
            <w:hideMark/>
          </w:tcPr>
          <w:p w14:paraId="48C34919"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101</w:t>
            </w:r>
          </w:p>
        </w:tc>
      </w:tr>
      <w:tr w:rsidR="0013597E" w:rsidRPr="0013597E" w14:paraId="5E812C32" w14:textId="77777777" w:rsidTr="00E26C89">
        <w:trPr>
          <w:trHeight w:val="240"/>
        </w:trPr>
        <w:tc>
          <w:tcPr>
            <w:tcW w:w="5958" w:type="dxa"/>
            <w:gridSpan w:val="5"/>
            <w:tcBorders>
              <w:top w:val="nil"/>
              <w:left w:val="nil"/>
              <w:bottom w:val="nil"/>
              <w:right w:val="nil"/>
            </w:tcBorders>
            <w:shd w:val="clear" w:color="auto" w:fill="auto"/>
            <w:hideMark/>
          </w:tcPr>
          <w:p w14:paraId="2E8D3B0D"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Lone parent family</w:t>
            </w:r>
          </w:p>
        </w:tc>
        <w:tc>
          <w:tcPr>
            <w:tcW w:w="1642" w:type="dxa"/>
            <w:gridSpan w:val="2"/>
            <w:tcBorders>
              <w:top w:val="nil"/>
              <w:left w:val="nil"/>
              <w:bottom w:val="nil"/>
              <w:right w:val="nil"/>
            </w:tcBorders>
            <w:shd w:val="clear" w:color="auto" w:fill="auto"/>
            <w:hideMark/>
          </w:tcPr>
          <w:p w14:paraId="7B1F2C59"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1,781</w:t>
            </w:r>
          </w:p>
        </w:tc>
        <w:tc>
          <w:tcPr>
            <w:tcW w:w="1652" w:type="dxa"/>
            <w:gridSpan w:val="2"/>
            <w:tcBorders>
              <w:top w:val="nil"/>
              <w:left w:val="nil"/>
              <w:bottom w:val="nil"/>
              <w:right w:val="nil"/>
            </w:tcBorders>
            <w:shd w:val="clear" w:color="auto" w:fill="auto"/>
            <w:hideMark/>
          </w:tcPr>
          <w:p w14:paraId="75F54F3C"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1,037</w:t>
            </w:r>
          </w:p>
        </w:tc>
        <w:tc>
          <w:tcPr>
            <w:tcW w:w="1036" w:type="dxa"/>
            <w:tcBorders>
              <w:top w:val="nil"/>
              <w:left w:val="nil"/>
              <w:bottom w:val="nil"/>
              <w:right w:val="nil"/>
            </w:tcBorders>
            <w:shd w:val="clear" w:color="auto" w:fill="auto"/>
            <w:hideMark/>
          </w:tcPr>
          <w:p w14:paraId="5EEDA935"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 xml:space="preserve">  2,817</w:t>
            </w:r>
          </w:p>
        </w:tc>
      </w:tr>
      <w:tr w:rsidR="0013597E" w:rsidRPr="0013597E" w14:paraId="4DD18417" w14:textId="77777777" w:rsidTr="00E26C89">
        <w:trPr>
          <w:trHeight w:val="240"/>
        </w:trPr>
        <w:tc>
          <w:tcPr>
            <w:tcW w:w="5958" w:type="dxa"/>
            <w:gridSpan w:val="5"/>
            <w:tcBorders>
              <w:top w:val="nil"/>
              <w:left w:val="nil"/>
              <w:bottom w:val="single" w:sz="4" w:space="0" w:color="auto"/>
              <w:right w:val="nil"/>
            </w:tcBorders>
            <w:shd w:val="clear" w:color="auto" w:fill="auto"/>
            <w:hideMark/>
          </w:tcPr>
          <w:p w14:paraId="1C89611E"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All families</w:t>
            </w:r>
          </w:p>
        </w:tc>
        <w:tc>
          <w:tcPr>
            <w:tcW w:w="1642" w:type="dxa"/>
            <w:gridSpan w:val="2"/>
            <w:tcBorders>
              <w:top w:val="nil"/>
              <w:left w:val="nil"/>
              <w:bottom w:val="single" w:sz="4" w:space="0" w:color="auto"/>
              <w:right w:val="nil"/>
            </w:tcBorders>
            <w:shd w:val="clear" w:color="auto" w:fill="auto"/>
            <w:hideMark/>
          </w:tcPr>
          <w:p w14:paraId="5D5F8567"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7,983</w:t>
            </w:r>
          </w:p>
        </w:tc>
        <w:tc>
          <w:tcPr>
            <w:tcW w:w="1652" w:type="dxa"/>
            <w:gridSpan w:val="2"/>
            <w:tcBorders>
              <w:top w:val="nil"/>
              <w:left w:val="nil"/>
              <w:bottom w:val="single" w:sz="4" w:space="0" w:color="auto"/>
              <w:right w:val="nil"/>
            </w:tcBorders>
            <w:shd w:val="clear" w:color="auto" w:fill="auto"/>
            <w:hideMark/>
          </w:tcPr>
          <w:p w14:paraId="348DA187"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11,014</w:t>
            </w:r>
          </w:p>
        </w:tc>
        <w:tc>
          <w:tcPr>
            <w:tcW w:w="1036" w:type="dxa"/>
            <w:tcBorders>
              <w:top w:val="nil"/>
              <w:left w:val="nil"/>
              <w:bottom w:val="single" w:sz="4" w:space="0" w:color="auto"/>
              <w:right w:val="nil"/>
            </w:tcBorders>
            <w:shd w:val="clear" w:color="auto" w:fill="auto"/>
            <w:hideMark/>
          </w:tcPr>
          <w:p w14:paraId="387A7B1B" w14:textId="77777777" w:rsidR="0013597E" w:rsidRPr="0013597E" w:rsidRDefault="0013597E" w:rsidP="00676FFA">
            <w:pPr>
              <w:tabs>
                <w:tab w:val="left" w:pos="426"/>
              </w:tabs>
              <w:spacing w:after="0"/>
              <w:ind w:left="426" w:hanging="420"/>
              <w:rPr>
                <w:color w:val="000000" w:themeColor="text1"/>
              </w:rPr>
            </w:pPr>
            <w:r w:rsidRPr="0013597E">
              <w:rPr>
                <w:color w:val="000000" w:themeColor="text1"/>
              </w:rPr>
              <w:t>18,997</w:t>
            </w:r>
          </w:p>
        </w:tc>
      </w:tr>
      <w:tr w:rsidR="0013597E" w:rsidRPr="0013597E" w14:paraId="1D316760" w14:textId="77777777" w:rsidTr="00E26C89">
        <w:trPr>
          <w:trHeight w:val="240"/>
        </w:trPr>
        <w:tc>
          <w:tcPr>
            <w:tcW w:w="10288" w:type="dxa"/>
            <w:gridSpan w:val="10"/>
            <w:tcBorders>
              <w:top w:val="single" w:sz="4" w:space="0" w:color="auto"/>
              <w:left w:val="nil"/>
              <w:bottom w:val="nil"/>
              <w:right w:val="nil"/>
            </w:tcBorders>
            <w:shd w:val="clear" w:color="auto" w:fill="auto"/>
            <w:noWrap/>
            <w:vAlign w:val="bottom"/>
            <w:hideMark/>
          </w:tcPr>
          <w:p w14:paraId="79C5328E" w14:textId="77777777" w:rsidR="0013597E" w:rsidRPr="0013597E" w:rsidRDefault="0013597E" w:rsidP="00676FFA">
            <w:pPr>
              <w:tabs>
                <w:tab w:val="left" w:pos="426"/>
              </w:tabs>
              <w:ind w:left="426" w:hanging="420"/>
              <w:rPr>
                <w:i/>
                <w:color w:val="000000" w:themeColor="text1"/>
              </w:rPr>
            </w:pPr>
            <w:r w:rsidRPr="0013597E">
              <w:rPr>
                <w:i/>
                <w:color w:val="000000" w:themeColor="text1"/>
              </w:rPr>
              <w:t>Source: Labour Force Survey, Office for National Statistics</w:t>
            </w:r>
          </w:p>
        </w:tc>
      </w:tr>
      <w:tr w:rsidR="0013597E" w:rsidRPr="0013597E" w14:paraId="3A2387AD" w14:textId="77777777" w:rsidTr="00E26C89">
        <w:trPr>
          <w:trHeight w:val="240"/>
        </w:trPr>
        <w:tc>
          <w:tcPr>
            <w:tcW w:w="10288" w:type="dxa"/>
            <w:gridSpan w:val="10"/>
            <w:tcBorders>
              <w:top w:val="nil"/>
              <w:left w:val="nil"/>
              <w:bottom w:val="nil"/>
              <w:right w:val="nil"/>
            </w:tcBorders>
            <w:shd w:val="clear" w:color="auto" w:fill="auto"/>
            <w:noWrap/>
            <w:vAlign w:val="bottom"/>
            <w:hideMark/>
          </w:tcPr>
          <w:p w14:paraId="0B579609" w14:textId="77777777" w:rsidR="0013597E" w:rsidRPr="0013597E" w:rsidRDefault="0013597E" w:rsidP="00676FFA">
            <w:pPr>
              <w:tabs>
                <w:tab w:val="left" w:pos="426"/>
              </w:tabs>
              <w:ind w:left="426" w:hanging="420"/>
              <w:rPr>
                <w:color w:val="000000" w:themeColor="text1"/>
              </w:rPr>
            </w:pPr>
            <w:r w:rsidRPr="0013597E">
              <w:rPr>
                <w:color w:val="000000" w:themeColor="text1"/>
              </w:rPr>
              <w:t xml:space="preserve">Notes: </w:t>
            </w:r>
          </w:p>
        </w:tc>
      </w:tr>
      <w:tr w:rsidR="0013597E" w:rsidRPr="0013597E" w14:paraId="4F658A52" w14:textId="77777777" w:rsidTr="00E26C89">
        <w:trPr>
          <w:trHeight w:val="240"/>
        </w:trPr>
        <w:tc>
          <w:tcPr>
            <w:tcW w:w="10288" w:type="dxa"/>
            <w:gridSpan w:val="10"/>
            <w:tcBorders>
              <w:top w:val="nil"/>
              <w:left w:val="nil"/>
              <w:bottom w:val="nil"/>
              <w:right w:val="nil"/>
            </w:tcBorders>
            <w:shd w:val="clear" w:color="auto" w:fill="auto"/>
            <w:noWrap/>
            <w:vAlign w:val="bottom"/>
            <w:hideMark/>
          </w:tcPr>
          <w:p w14:paraId="0018B85D" w14:textId="77777777" w:rsidR="0013597E" w:rsidRPr="0013597E" w:rsidRDefault="0013597E" w:rsidP="00676FFA">
            <w:pPr>
              <w:tabs>
                <w:tab w:val="left" w:pos="426"/>
              </w:tabs>
              <w:ind w:left="426" w:hanging="420"/>
              <w:contextualSpacing/>
              <w:rPr>
                <w:color w:val="000000" w:themeColor="text1"/>
                <w:sz w:val="20"/>
                <w:szCs w:val="20"/>
              </w:rPr>
            </w:pPr>
            <w:r w:rsidRPr="0013597E">
              <w:rPr>
                <w:color w:val="000000" w:themeColor="text1"/>
                <w:sz w:val="20"/>
                <w:szCs w:val="20"/>
              </w:rPr>
              <w:t>1. Married couple families include both opposite sex and same sex married couples. Cohabiting couple families include both opposite sex and same sex cohabiting couples.</w:t>
            </w:r>
          </w:p>
        </w:tc>
      </w:tr>
      <w:tr w:rsidR="0013597E" w:rsidRPr="0013597E" w14:paraId="73C8FD23" w14:textId="77777777" w:rsidTr="00E26C89">
        <w:trPr>
          <w:trHeight w:val="240"/>
        </w:trPr>
        <w:tc>
          <w:tcPr>
            <w:tcW w:w="10288" w:type="dxa"/>
            <w:gridSpan w:val="10"/>
            <w:tcBorders>
              <w:top w:val="nil"/>
              <w:left w:val="nil"/>
              <w:bottom w:val="nil"/>
              <w:right w:val="nil"/>
            </w:tcBorders>
            <w:shd w:val="clear" w:color="auto" w:fill="auto"/>
            <w:noWrap/>
            <w:vAlign w:val="bottom"/>
            <w:hideMark/>
          </w:tcPr>
          <w:p w14:paraId="05785106" w14:textId="77777777" w:rsidR="0013597E" w:rsidRPr="0013597E" w:rsidRDefault="0013597E" w:rsidP="00676FFA">
            <w:pPr>
              <w:tabs>
                <w:tab w:val="left" w:pos="426"/>
              </w:tabs>
              <w:ind w:left="426" w:hanging="420"/>
              <w:contextualSpacing/>
              <w:rPr>
                <w:color w:val="000000" w:themeColor="text1"/>
                <w:sz w:val="20"/>
                <w:szCs w:val="20"/>
              </w:rPr>
            </w:pPr>
            <w:r w:rsidRPr="0013597E">
              <w:rPr>
                <w:color w:val="000000" w:themeColor="text1"/>
                <w:sz w:val="20"/>
                <w:szCs w:val="20"/>
              </w:rPr>
              <w:t>2. Families without dependent children have only non-dependent children or no children in the household.</w:t>
            </w:r>
          </w:p>
        </w:tc>
      </w:tr>
      <w:tr w:rsidR="0013597E" w:rsidRPr="0013597E" w14:paraId="32FE46BE" w14:textId="77777777" w:rsidTr="00E26C89">
        <w:trPr>
          <w:trHeight w:val="240"/>
        </w:trPr>
        <w:tc>
          <w:tcPr>
            <w:tcW w:w="10288" w:type="dxa"/>
            <w:gridSpan w:val="10"/>
            <w:tcBorders>
              <w:top w:val="nil"/>
              <w:left w:val="nil"/>
              <w:bottom w:val="nil"/>
              <w:right w:val="nil"/>
            </w:tcBorders>
            <w:shd w:val="clear" w:color="auto" w:fill="auto"/>
            <w:noWrap/>
            <w:vAlign w:val="bottom"/>
            <w:hideMark/>
          </w:tcPr>
          <w:p w14:paraId="00A41D22" w14:textId="77777777" w:rsidR="0013597E" w:rsidRPr="0013597E" w:rsidRDefault="0013597E" w:rsidP="00676FFA">
            <w:pPr>
              <w:tabs>
                <w:tab w:val="left" w:pos="426"/>
              </w:tabs>
              <w:ind w:left="426" w:hanging="420"/>
              <w:contextualSpacing/>
              <w:rPr>
                <w:color w:val="000000" w:themeColor="text1"/>
                <w:sz w:val="20"/>
                <w:szCs w:val="20"/>
              </w:rPr>
            </w:pPr>
            <w:r w:rsidRPr="0013597E">
              <w:rPr>
                <w:color w:val="000000" w:themeColor="text1"/>
                <w:sz w:val="20"/>
                <w:szCs w:val="20"/>
              </w:rPr>
              <w:t>3. Civil partnerships were introduced in the UK in December 2005.</w:t>
            </w:r>
          </w:p>
        </w:tc>
      </w:tr>
      <w:tr w:rsidR="0013597E" w:rsidRPr="0013597E" w14:paraId="169BF363" w14:textId="77777777" w:rsidTr="00E26C89">
        <w:trPr>
          <w:trHeight w:val="240"/>
        </w:trPr>
        <w:tc>
          <w:tcPr>
            <w:tcW w:w="10288" w:type="dxa"/>
            <w:gridSpan w:val="10"/>
            <w:tcBorders>
              <w:top w:val="nil"/>
              <w:left w:val="nil"/>
              <w:bottom w:val="nil"/>
              <w:right w:val="nil"/>
            </w:tcBorders>
            <w:shd w:val="clear" w:color="auto" w:fill="auto"/>
            <w:noWrap/>
            <w:vAlign w:val="bottom"/>
            <w:hideMark/>
          </w:tcPr>
          <w:p w14:paraId="5FECB300" w14:textId="77777777" w:rsidR="0013597E" w:rsidRPr="0013597E" w:rsidRDefault="0013597E" w:rsidP="00676FFA">
            <w:pPr>
              <w:tabs>
                <w:tab w:val="left" w:pos="426"/>
              </w:tabs>
              <w:ind w:left="426" w:hanging="420"/>
              <w:contextualSpacing/>
              <w:rPr>
                <w:color w:val="000000" w:themeColor="text1"/>
                <w:sz w:val="20"/>
                <w:szCs w:val="20"/>
              </w:rPr>
            </w:pPr>
            <w:r w:rsidRPr="0013597E">
              <w:rPr>
                <w:color w:val="000000" w:themeColor="text1"/>
                <w:sz w:val="20"/>
                <w:szCs w:val="20"/>
              </w:rPr>
              <w:lastRenderedPageBreak/>
              <w:t>4. Marriages to same sex couples were introduced in England and Wales in March 2014.</w:t>
            </w:r>
          </w:p>
        </w:tc>
      </w:tr>
      <w:tr w:rsidR="0013597E" w:rsidRPr="0013597E" w14:paraId="3BB4A08F" w14:textId="77777777" w:rsidTr="00E26C89">
        <w:trPr>
          <w:trHeight w:val="240"/>
        </w:trPr>
        <w:tc>
          <w:tcPr>
            <w:tcW w:w="10288" w:type="dxa"/>
            <w:gridSpan w:val="10"/>
            <w:tcBorders>
              <w:top w:val="nil"/>
              <w:left w:val="nil"/>
              <w:bottom w:val="nil"/>
              <w:right w:val="nil"/>
            </w:tcBorders>
            <w:shd w:val="clear" w:color="auto" w:fill="auto"/>
            <w:noWrap/>
            <w:vAlign w:val="bottom"/>
            <w:hideMark/>
          </w:tcPr>
          <w:p w14:paraId="77D4D9CE" w14:textId="77777777" w:rsidR="0013597E" w:rsidRPr="0013597E" w:rsidRDefault="0013597E" w:rsidP="00676FFA">
            <w:pPr>
              <w:tabs>
                <w:tab w:val="left" w:pos="426"/>
              </w:tabs>
              <w:ind w:left="426" w:hanging="420"/>
              <w:contextualSpacing/>
              <w:rPr>
                <w:color w:val="000000" w:themeColor="text1"/>
                <w:sz w:val="20"/>
                <w:szCs w:val="20"/>
              </w:rPr>
            </w:pPr>
            <w:r w:rsidRPr="0013597E">
              <w:rPr>
                <w:color w:val="000000" w:themeColor="text1"/>
                <w:sz w:val="20"/>
                <w:szCs w:val="20"/>
              </w:rPr>
              <w:t>5. Totals may not sum due to rounding.</w:t>
            </w:r>
          </w:p>
        </w:tc>
      </w:tr>
      <w:tr w:rsidR="0013597E" w:rsidRPr="0013597E" w14:paraId="25969F07" w14:textId="77777777" w:rsidTr="00E26C89">
        <w:trPr>
          <w:trHeight w:val="240"/>
        </w:trPr>
        <w:tc>
          <w:tcPr>
            <w:tcW w:w="10288" w:type="dxa"/>
            <w:gridSpan w:val="10"/>
            <w:tcBorders>
              <w:top w:val="nil"/>
              <w:left w:val="nil"/>
              <w:bottom w:val="nil"/>
              <w:right w:val="nil"/>
            </w:tcBorders>
            <w:shd w:val="clear" w:color="auto" w:fill="auto"/>
            <w:noWrap/>
            <w:vAlign w:val="bottom"/>
            <w:hideMark/>
          </w:tcPr>
          <w:p w14:paraId="1B805702" w14:textId="77777777" w:rsidR="0013597E" w:rsidRPr="0013597E" w:rsidRDefault="0013597E" w:rsidP="00676FFA">
            <w:pPr>
              <w:tabs>
                <w:tab w:val="left" w:pos="426"/>
              </w:tabs>
              <w:ind w:left="426" w:hanging="420"/>
              <w:rPr>
                <w:color w:val="000000" w:themeColor="text1"/>
                <w:sz w:val="20"/>
                <w:szCs w:val="20"/>
              </w:rPr>
            </w:pPr>
            <w:r w:rsidRPr="0013597E">
              <w:rPr>
                <w:color w:val="000000" w:themeColor="text1"/>
                <w:sz w:val="20"/>
                <w:szCs w:val="20"/>
              </w:rPr>
              <w:t>6. Some small numbers are likely to be less reliable. The reference tables published alongside this bulletin indicate the statistical robustness of each estimate.</w:t>
            </w:r>
          </w:p>
        </w:tc>
      </w:tr>
      <w:tr w:rsidR="0013597E" w:rsidRPr="0013597E" w14:paraId="517CE520" w14:textId="77777777" w:rsidTr="00E26C89">
        <w:trPr>
          <w:trHeight w:val="240"/>
        </w:trPr>
        <w:tc>
          <w:tcPr>
            <w:tcW w:w="10288" w:type="dxa"/>
            <w:gridSpan w:val="10"/>
            <w:tcBorders>
              <w:top w:val="nil"/>
              <w:left w:val="nil"/>
              <w:bottom w:val="nil"/>
              <w:right w:val="nil"/>
            </w:tcBorders>
            <w:shd w:val="clear" w:color="auto" w:fill="auto"/>
            <w:noWrap/>
            <w:vAlign w:val="bottom"/>
            <w:hideMark/>
          </w:tcPr>
          <w:p w14:paraId="1E5F84F8" w14:textId="77777777" w:rsidR="0013597E" w:rsidRPr="0013597E" w:rsidRDefault="0013597E" w:rsidP="00676FFA">
            <w:pPr>
              <w:tabs>
                <w:tab w:val="left" w:pos="426"/>
              </w:tabs>
              <w:ind w:left="426" w:hanging="420"/>
              <w:rPr>
                <w:b/>
                <w:color w:val="000000" w:themeColor="text1"/>
              </w:rPr>
            </w:pPr>
            <w:r w:rsidRPr="0013597E">
              <w:rPr>
                <w:color w:val="000000" w:themeColor="text1"/>
              </w:rPr>
              <w:br w:type="page"/>
            </w:r>
            <w:r w:rsidRPr="0013597E">
              <w:rPr>
                <w:b/>
                <w:color w:val="000000" w:themeColor="text1"/>
              </w:rPr>
              <w:t>Table 2: Households: by household type in 1996, 2007 and 2017, UK</w:t>
            </w:r>
          </w:p>
        </w:tc>
      </w:tr>
      <w:tr w:rsidR="0013597E" w:rsidRPr="0013597E" w14:paraId="1B45D7F9" w14:textId="77777777" w:rsidTr="00E26C89">
        <w:trPr>
          <w:trHeight w:val="300"/>
        </w:trPr>
        <w:tc>
          <w:tcPr>
            <w:tcW w:w="10288" w:type="dxa"/>
            <w:gridSpan w:val="10"/>
            <w:tcBorders>
              <w:top w:val="nil"/>
              <w:left w:val="nil"/>
              <w:bottom w:val="nil"/>
              <w:right w:val="nil"/>
            </w:tcBorders>
            <w:shd w:val="clear" w:color="auto" w:fill="auto"/>
            <w:noWrap/>
            <w:vAlign w:val="bottom"/>
            <w:hideMark/>
          </w:tcPr>
          <w:p w14:paraId="3F6EDDF5" w14:textId="77777777" w:rsidR="0013597E" w:rsidRPr="0013597E" w:rsidRDefault="0013597E" w:rsidP="00676FFA">
            <w:pPr>
              <w:tabs>
                <w:tab w:val="left" w:pos="426"/>
              </w:tabs>
              <w:ind w:left="426" w:hanging="420"/>
              <w:jc w:val="right"/>
              <w:rPr>
                <w:color w:val="000000" w:themeColor="text1"/>
              </w:rPr>
            </w:pPr>
            <w:r w:rsidRPr="0013597E">
              <w:rPr>
                <w:color w:val="000000" w:themeColor="text1"/>
              </w:rPr>
              <w:t>Millions</w:t>
            </w:r>
          </w:p>
        </w:tc>
      </w:tr>
      <w:tr w:rsidR="0013597E" w:rsidRPr="0013597E" w14:paraId="07CC9453" w14:textId="77777777" w:rsidTr="00E26C89">
        <w:trPr>
          <w:trHeight w:val="480"/>
        </w:trPr>
        <w:tc>
          <w:tcPr>
            <w:tcW w:w="827" w:type="dxa"/>
            <w:vMerge w:val="restart"/>
            <w:tcBorders>
              <w:top w:val="single" w:sz="4" w:space="0" w:color="auto"/>
              <w:left w:val="nil"/>
              <w:bottom w:val="single" w:sz="4" w:space="0" w:color="000000" w:themeColor="text1"/>
              <w:right w:val="nil"/>
            </w:tcBorders>
            <w:shd w:val="clear" w:color="auto" w:fill="auto"/>
            <w:vAlign w:val="center"/>
            <w:hideMark/>
          </w:tcPr>
          <w:p w14:paraId="617B285F" w14:textId="77777777" w:rsidR="0013597E" w:rsidRPr="0013597E" w:rsidRDefault="0013597E" w:rsidP="00676FFA">
            <w:pPr>
              <w:tabs>
                <w:tab w:val="left" w:pos="426"/>
              </w:tabs>
              <w:ind w:left="426" w:hanging="420"/>
              <w:rPr>
                <w:color w:val="000000" w:themeColor="text1"/>
              </w:rPr>
            </w:pPr>
            <w:r w:rsidRPr="0013597E">
              <w:rPr>
                <w:color w:val="000000" w:themeColor="text1"/>
              </w:rPr>
              <w:t>Year</w:t>
            </w:r>
          </w:p>
        </w:tc>
        <w:tc>
          <w:tcPr>
            <w:tcW w:w="1669" w:type="dxa"/>
            <w:vMerge w:val="restart"/>
            <w:tcBorders>
              <w:top w:val="single" w:sz="4" w:space="0" w:color="auto"/>
              <w:left w:val="nil"/>
              <w:bottom w:val="single" w:sz="4" w:space="0" w:color="000000" w:themeColor="text1"/>
              <w:right w:val="nil"/>
            </w:tcBorders>
            <w:shd w:val="clear" w:color="auto" w:fill="auto"/>
            <w:vAlign w:val="center"/>
            <w:hideMark/>
          </w:tcPr>
          <w:p w14:paraId="4CC8B833" w14:textId="77777777" w:rsidR="0013597E" w:rsidRPr="0013597E" w:rsidRDefault="0013597E" w:rsidP="00B30C6F">
            <w:pPr>
              <w:tabs>
                <w:tab w:val="left" w:pos="6"/>
              </w:tabs>
              <w:ind w:firstLine="6"/>
              <w:contextualSpacing/>
              <w:rPr>
                <w:color w:val="000000" w:themeColor="text1"/>
              </w:rPr>
            </w:pPr>
            <w:r w:rsidRPr="0013597E">
              <w:rPr>
                <w:color w:val="000000" w:themeColor="text1"/>
              </w:rPr>
              <w:t xml:space="preserve">One person </w:t>
            </w:r>
            <w:r w:rsidRPr="0013597E">
              <w:rPr>
                <w:color w:val="000000" w:themeColor="text1"/>
              </w:rPr>
              <w:br/>
              <w:t>households</w:t>
            </w:r>
          </w:p>
        </w:tc>
        <w:tc>
          <w:tcPr>
            <w:tcW w:w="1642" w:type="dxa"/>
            <w:vMerge w:val="restart"/>
            <w:tcBorders>
              <w:top w:val="single" w:sz="4" w:space="0" w:color="auto"/>
              <w:left w:val="nil"/>
              <w:bottom w:val="single" w:sz="4" w:space="0" w:color="000000" w:themeColor="text1"/>
              <w:right w:val="nil"/>
            </w:tcBorders>
            <w:shd w:val="clear" w:color="auto" w:fill="auto"/>
            <w:vAlign w:val="center"/>
            <w:hideMark/>
          </w:tcPr>
          <w:p w14:paraId="4B4F67C0" w14:textId="77777777" w:rsidR="0013597E" w:rsidRPr="0013597E" w:rsidRDefault="0013597E" w:rsidP="00B30C6F">
            <w:pPr>
              <w:tabs>
                <w:tab w:val="left" w:pos="28"/>
              </w:tabs>
              <w:ind w:left="28" w:hanging="22"/>
              <w:contextualSpacing/>
              <w:rPr>
                <w:color w:val="000000" w:themeColor="text1"/>
              </w:rPr>
            </w:pPr>
            <w:r w:rsidRPr="0013597E">
              <w:rPr>
                <w:color w:val="000000" w:themeColor="text1"/>
              </w:rPr>
              <w:t xml:space="preserve">One family </w:t>
            </w:r>
            <w:r w:rsidRPr="0013597E">
              <w:rPr>
                <w:color w:val="000000" w:themeColor="text1"/>
              </w:rPr>
              <w:br/>
              <w:t xml:space="preserve">household: </w:t>
            </w:r>
            <w:r w:rsidRPr="0013597E">
              <w:rPr>
                <w:color w:val="000000" w:themeColor="text1"/>
              </w:rPr>
              <w:br/>
              <w:t>couple</w:t>
            </w:r>
            <w:r w:rsidRPr="0013597E">
              <w:rPr>
                <w:color w:val="000000" w:themeColor="text1"/>
                <w:vertAlign w:val="superscript"/>
              </w:rPr>
              <w:t>1</w:t>
            </w:r>
          </w:p>
        </w:tc>
        <w:tc>
          <w:tcPr>
            <w:tcW w:w="1642" w:type="dxa"/>
            <w:vMerge w:val="restart"/>
            <w:tcBorders>
              <w:top w:val="single" w:sz="4" w:space="0" w:color="auto"/>
              <w:left w:val="nil"/>
              <w:bottom w:val="single" w:sz="4" w:space="0" w:color="000000" w:themeColor="text1"/>
              <w:right w:val="nil"/>
            </w:tcBorders>
            <w:shd w:val="clear" w:color="auto" w:fill="auto"/>
            <w:vAlign w:val="center"/>
            <w:hideMark/>
          </w:tcPr>
          <w:p w14:paraId="404C07D1" w14:textId="77777777" w:rsidR="0013597E" w:rsidRPr="0013597E" w:rsidRDefault="0013597E" w:rsidP="00B30C6F">
            <w:pPr>
              <w:tabs>
                <w:tab w:val="left" w:pos="6"/>
              </w:tabs>
              <w:contextualSpacing/>
              <w:rPr>
                <w:color w:val="000000" w:themeColor="text1"/>
              </w:rPr>
            </w:pPr>
            <w:r w:rsidRPr="0013597E">
              <w:rPr>
                <w:color w:val="000000" w:themeColor="text1"/>
              </w:rPr>
              <w:t xml:space="preserve">One family </w:t>
            </w:r>
            <w:r w:rsidRPr="0013597E">
              <w:rPr>
                <w:color w:val="000000" w:themeColor="text1"/>
              </w:rPr>
              <w:br/>
              <w:t xml:space="preserve">household: </w:t>
            </w:r>
            <w:r w:rsidRPr="0013597E">
              <w:rPr>
                <w:color w:val="000000" w:themeColor="text1"/>
              </w:rPr>
              <w:br/>
              <w:t>lone parent</w:t>
            </w:r>
          </w:p>
        </w:tc>
        <w:tc>
          <w:tcPr>
            <w:tcW w:w="1514" w:type="dxa"/>
            <w:gridSpan w:val="2"/>
            <w:vMerge w:val="restart"/>
            <w:tcBorders>
              <w:top w:val="single" w:sz="4" w:space="0" w:color="auto"/>
              <w:left w:val="nil"/>
              <w:bottom w:val="single" w:sz="4" w:space="0" w:color="000000" w:themeColor="text1"/>
              <w:right w:val="nil"/>
            </w:tcBorders>
            <w:shd w:val="clear" w:color="auto" w:fill="auto"/>
            <w:vAlign w:val="center"/>
            <w:hideMark/>
          </w:tcPr>
          <w:p w14:paraId="3FD4B950" w14:textId="77777777" w:rsidR="0013597E" w:rsidRPr="0013597E" w:rsidRDefault="0013597E" w:rsidP="00B30C6F">
            <w:pPr>
              <w:tabs>
                <w:tab w:val="left" w:pos="6"/>
              </w:tabs>
              <w:ind w:left="3" w:firstLine="3"/>
              <w:contextualSpacing/>
              <w:rPr>
                <w:color w:val="000000" w:themeColor="text1"/>
              </w:rPr>
            </w:pPr>
            <w:r w:rsidRPr="0013597E">
              <w:rPr>
                <w:color w:val="000000" w:themeColor="text1"/>
              </w:rPr>
              <w:t xml:space="preserve">Two or more </w:t>
            </w:r>
            <w:r w:rsidRPr="0013597E">
              <w:rPr>
                <w:color w:val="000000" w:themeColor="text1"/>
              </w:rPr>
              <w:br/>
              <w:t>unrelated adults</w:t>
            </w:r>
          </w:p>
        </w:tc>
        <w:tc>
          <w:tcPr>
            <w:tcW w:w="1669" w:type="dxa"/>
            <w:gridSpan w:val="2"/>
            <w:vMerge w:val="restart"/>
            <w:tcBorders>
              <w:top w:val="single" w:sz="4" w:space="0" w:color="auto"/>
              <w:left w:val="nil"/>
              <w:bottom w:val="single" w:sz="4" w:space="0" w:color="000000" w:themeColor="text1"/>
              <w:right w:val="nil"/>
            </w:tcBorders>
            <w:shd w:val="clear" w:color="auto" w:fill="auto"/>
            <w:vAlign w:val="center"/>
            <w:hideMark/>
          </w:tcPr>
          <w:p w14:paraId="5ED60A7A" w14:textId="77777777" w:rsidR="0013597E" w:rsidRPr="0013597E" w:rsidRDefault="0013597E" w:rsidP="00B30C6F">
            <w:pPr>
              <w:tabs>
                <w:tab w:val="left" w:pos="48"/>
              </w:tabs>
              <w:ind w:left="48" w:hanging="42"/>
              <w:contextualSpacing/>
              <w:rPr>
                <w:color w:val="000000" w:themeColor="text1"/>
              </w:rPr>
            </w:pPr>
            <w:r w:rsidRPr="0013597E">
              <w:rPr>
                <w:color w:val="000000" w:themeColor="text1"/>
              </w:rPr>
              <w:t xml:space="preserve">Multi-family </w:t>
            </w:r>
            <w:r w:rsidRPr="0013597E">
              <w:rPr>
                <w:color w:val="000000" w:themeColor="text1"/>
              </w:rPr>
              <w:br/>
              <w:t>households</w:t>
            </w:r>
          </w:p>
        </w:tc>
        <w:tc>
          <w:tcPr>
            <w:tcW w:w="1325" w:type="dxa"/>
            <w:gridSpan w:val="2"/>
            <w:vMerge w:val="restart"/>
            <w:tcBorders>
              <w:top w:val="single" w:sz="4" w:space="0" w:color="auto"/>
              <w:left w:val="nil"/>
              <w:bottom w:val="single" w:sz="4" w:space="0" w:color="000000" w:themeColor="text1"/>
              <w:right w:val="nil"/>
            </w:tcBorders>
            <w:shd w:val="clear" w:color="auto" w:fill="auto"/>
            <w:vAlign w:val="center"/>
            <w:hideMark/>
          </w:tcPr>
          <w:p w14:paraId="545CD10C" w14:textId="77777777" w:rsidR="0013597E" w:rsidRPr="0013597E" w:rsidRDefault="0013597E" w:rsidP="00B30C6F">
            <w:pPr>
              <w:tabs>
                <w:tab w:val="left" w:pos="6"/>
              </w:tabs>
              <w:ind w:left="47" w:hanging="41"/>
              <w:contextualSpacing/>
              <w:rPr>
                <w:color w:val="000000" w:themeColor="text1"/>
              </w:rPr>
            </w:pPr>
            <w:r w:rsidRPr="0013597E">
              <w:rPr>
                <w:color w:val="000000" w:themeColor="text1"/>
              </w:rPr>
              <w:t xml:space="preserve">All </w:t>
            </w:r>
            <w:r w:rsidRPr="0013597E">
              <w:rPr>
                <w:color w:val="000000" w:themeColor="text1"/>
              </w:rPr>
              <w:br/>
              <w:t>households</w:t>
            </w:r>
          </w:p>
        </w:tc>
      </w:tr>
      <w:tr w:rsidR="0013597E" w:rsidRPr="0013597E" w14:paraId="2759405C" w14:textId="77777777" w:rsidTr="00E26C89">
        <w:trPr>
          <w:trHeight w:val="495"/>
        </w:trPr>
        <w:tc>
          <w:tcPr>
            <w:tcW w:w="827" w:type="dxa"/>
            <w:vMerge/>
            <w:tcBorders>
              <w:top w:val="single" w:sz="4" w:space="0" w:color="auto"/>
              <w:left w:val="nil"/>
              <w:bottom w:val="single" w:sz="4" w:space="0" w:color="000000"/>
              <w:right w:val="nil"/>
            </w:tcBorders>
            <w:vAlign w:val="center"/>
            <w:hideMark/>
          </w:tcPr>
          <w:p w14:paraId="4E62FB42" w14:textId="77777777" w:rsidR="0013597E" w:rsidRPr="0013597E" w:rsidRDefault="0013597E" w:rsidP="00676FFA">
            <w:pPr>
              <w:tabs>
                <w:tab w:val="left" w:pos="426"/>
              </w:tabs>
              <w:ind w:left="426" w:hanging="420"/>
              <w:rPr>
                <w:color w:val="000000" w:themeColor="text1"/>
              </w:rPr>
            </w:pPr>
          </w:p>
        </w:tc>
        <w:tc>
          <w:tcPr>
            <w:tcW w:w="1669" w:type="dxa"/>
            <w:vMerge/>
            <w:tcBorders>
              <w:top w:val="single" w:sz="4" w:space="0" w:color="auto"/>
              <w:left w:val="nil"/>
              <w:bottom w:val="single" w:sz="4" w:space="0" w:color="000000"/>
              <w:right w:val="nil"/>
            </w:tcBorders>
            <w:vAlign w:val="center"/>
            <w:hideMark/>
          </w:tcPr>
          <w:p w14:paraId="464DFB47" w14:textId="77777777" w:rsidR="0013597E" w:rsidRPr="0013597E" w:rsidRDefault="0013597E" w:rsidP="00676FFA">
            <w:pPr>
              <w:tabs>
                <w:tab w:val="left" w:pos="426"/>
              </w:tabs>
              <w:ind w:left="426" w:hanging="420"/>
              <w:rPr>
                <w:color w:val="000000" w:themeColor="text1"/>
              </w:rPr>
            </w:pPr>
          </w:p>
        </w:tc>
        <w:tc>
          <w:tcPr>
            <w:tcW w:w="1642" w:type="dxa"/>
            <w:vMerge/>
            <w:tcBorders>
              <w:top w:val="single" w:sz="4" w:space="0" w:color="auto"/>
              <w:left w:val="nil"/>
              <w:bottom w:val="single" w:sz="4" w:space="0" w:color="000000"/>
              <w:right w:val="nil"/>
            </w:tcBorders>
            <w:vAlign w:val="center"/>
            <w:hideMark/>
          </w:tcPr>
          <w:p w14:paraId="38ADA6A3" w14:textId="77777777" w:rsidR="0013597E" w:rsidRPr="0013597E" w:rsidRDefault="0013597E" w:rsidP="00676FFA">
            <w:pPr>
              <w:tabs>
                <w:tab w:val="left" w:pos="426"/>
              </w:tabs>
              <w:ind w:left="426" w:hanging="420"/>
              <w:rPr>
                <w:color w:val="000000" w:themeColor="text1"/>
              </w:rPr>
            </w:pPr>
          </w:p>
        </w:tc>
        <w:tc>
          <w:tcPr>
            <w:tcW w:w="1642" w:type="dxa"/>
            <w:vMerge/>
            <w:tcBorders>
              <w:top w:val="single" w:sz="4" w:space="0" w:color="auto"/>
              <w:left w:val="nil"/>
              <w:bottom w:val="single" w:sz="4" w:space="0" w:color="000000"/>
              <w:right w:val="nil"/>
            </w:tcBorders>
            <w:vAlign w:val="center"/>
            <w:hideMark/>
          </w:tcPr>
          <w:p w14:paraId="78DE9EDE" w14:textId="77777777" w:rsidR="0013597E" w:rsidRPr="0013597E" w:rsidRDefault="0013597E" w:rsidP="00676FFA">
            <w:pPr>
              <w:tabs>
                <w:tab w:val="left" w:pos="426"/>
              </w:tabs>
              <w:ind w:left="426" w:hanging="420"/>
              <w:rPr>
                <w:color w:val="000000" w:themeColor="text1"/>
              </w:rPr>
            </w:pPr>
          </w:p>
        </w:tc>
        <w:tc>
          <w:tcPr>
            <w:tcW w:w="1514" w:type="dxa"/>
            <w:gridSpan w:val="2"/>
            <w:vMerge/>
            <w:tcBorders>
              <w:top w:val="single" w:sz="4" w:space="0" w:color="auto"/>
              <w:left w:val="nil"/>
              <w:bottom w:val="single" w:sz="4" w:space="0" w:color="000000"/>
              <w:right w:val="nil"/>
            </w:tcBorders>
            <w:vAlign w:val="center"/>
            <w:hideMark/>
          </w:tcPr>
          <w:p w14:paraId="0F819AD2" w14:textId="77777777" w:rsidR="0013597E" w:rsidRPr="0013597E" w:rsidRDefault="0013597E" w:rsidP="00676FFA">
            <w:pPr>
              <w:tabs>
                <w:tab w:val="left" w:pos="426"/>
              </w:tabs>
              <w:ind w:left="426" w:hanging="420"/>
              <w:rPr>
                <w:color w:val="000000" w:themeColor="text1"/>
              </w:rPr>
            </w:pPr>
          </w:p>
        </w:tc>
        <w:tc>
          <w:tcPr>
            <w:tcW w:w="1669" w:type="dxa"/>
            <w:gridSpan w:val="2"/>
            <w:vMerge/>
            <w:tcBorders>
              <w:top w:val="single" w:sz="4" w:space="0" w:color="auto"/>
              <w:left w:val="nil"/>
              <w:bottom w:val="single" w:sz="4" w:space="0" w:color="000000"/>
              <w:right w:val="nil"/>
            </w:tcBorders>
            <w:vAlign w:val="center"/>
            <w:hideMark/>
          </w:tcPr>
          <w:p w14:paraId="7A1D1A9D" w14:textId="77777777" w:rsidR="0013597E" w:rsidRPr="0013597E" w:rsidRDefault="0013597E" w:rsidP="00676FFA">
            <w:pPr>
              <w:tabs>
                <w:tab w:val="left" w:pos="426"/>
              </w:tabs>
              <w:ind w:left="426" w:hanging="420"/>
              <w:rPr>
                <w:color w:val="000000" w:themeColor="text1"/>
              </w:rPr>
            </w:pPr>
          </w:p>
        </w:tc>
        <w:tc>
          <w:tcPr>
            <w:tcW w:w="1325" w:type="dxa"/>
            <w:gridSpan w:val="2"/>
            <w:vMerge/>
            <w:tcBorders>
              <w:top w:val="single" w:sz="4" w:space="0" w:color="auto"/>
              <w:left w:val="nil"/>
              <w:bottom w:val="single" w:sz="4" w:space="0" w:color="000000"/>
              <w:right w:val="nil"/>
            </w:tcBorders>
            <w:vAlign w:val="center"/>
            <w:hideMark/>
          </w:tcPr>
          <w:p w14:paraId="4992FF4E" w14:textId="77777777" w:rsidR="0013597E" w:rsidRPr="0013597E" w:rsidRDefault="0013597E" w:rsidP="00676FFA">
            <w:pPr>
              <w:tabs>
                <w:tab w:val="left" w:pos="426"/>
              </w:tabs>
              <w:ind w:left="426" w:hanging="420"/>
              <w:rPr>
                <w:color w:val="000000" w:themeColor="text1"/>
              </w:rPr>
            </w:pPr>
          </w:p>
        </w:tc>
      </w:tr>
      <w:tr w:rsidR="0013597E" w:rsidRPr="0013597E" w14:paraId="6FC8F1F7" w14:textId="77777777" w:rsidTr="00E26C89">
        <w:trPr>
          <w:trHeight w:val="450"/>
        </w:trPr>
        <w:tc>
          <w:tcPr>
            <w:tcW w:w="827" w:type="dxa"/>
            <w:vMerge/>
            <w:tcBorders>
              <w:top w:val="single" w:sz="4" w:space="0" w:color="auto"/>
              <w:left w:val="nil"/>
              <w:bottom w:val="single" w:sz="4" w:space="0" w:color="000000"/>
              <w:right w:val="nil"/>
            </w:tcBorders>
            <w:vAlign w:val="center"/>
            <w:hideMark/>
          </w:tcPr>
          <w:p w14:paraId="2606C7EA" w14:textId="77777777" w:rsidR="0013597E" w:rsidRPr="0013597E" w:rsidRDefault="0013597E" w:rsidP="00676FFA">
            <w:pPr>
              <w:tabs>
                <w:tab w:val="left" w:pos="426"/>
              </w:tabs>
              <w:ind w:left="426" w:hanging="420"/>
              <w:rPr>
                <w:color w:val="000000" w:themeColor="text1"/>
              </w:rPr>
            </w:pPr>
          </w:p>
        </w:tc>
        <w:tc>
          <w:tcPr>
            <w:tcW w:w="1669" w:type="dxa"/>
            <w:vMerge/>
            <w:tcBorders>
              <w:top w:val="single" w:sz="4" w:space="0" w:color="auto"/>
              <w:left w:val="nil"/>
              <w:bottom w:val="single" w:sz="4" w:space="0" w:color="000000"/>
              <w:right w:val="nil"/>
            </w:tcBorders>
            <w:vAlign w:val="center"/>
            <w:hideMark/>
          </w:tcPr>
          <w:p w14:paraId="6D302237" w14:textId="77777777" w:rsidR="0013597E" w:rsidRPr="0013597E" w:rsidRDefault="0013597E" w:rsidP="00676FFA">
            <w:pPr>
              <w:tabs>
                <w:tab w:val="left" w:pos="426"/>
              </w:tabs>
              <w:ind w:left="426" w:hanging="420"/>
              <w:rPr>
                <w:color w:val="000000" w:themeColor="text1"/>
              </w:rPr>
            </w:pPr>
          </w:p>
        </w:tc>
        <w:tc>
          <w:tcPr>
            <w:tcW w:w="1642" w:type="dxa"/>
            <w:vMerge/>
            <w:tcBorders>
              <w:top w:val="single" w:sz="4" w:space="0" w:color="auto"/>
              <w:left w:val="nil"/>
              <w:bottom w:val="single" w:sz="4" w:space="0" w:color="000000"/>
              <w:right w:val="nil"/>
            </w:tcBorders>
            <w:vAlign w:val="center"/>
            <w:hideMark/>
          </w:tcPr>
          <w:p w14:paraId="6A9D7963" w14:textId="77777777" w:rsidR="0013597E" w:rsidRPr="0013597E" w:rsidRDefault="0013597E" w:rsidP="00676FFA">
            <w:pPr>
              <w:tabs>
                <w:tab w:val="left" w:pos="426"/>
              </w:tabs>
              <w:ind w:left="426" w:hanging="420"/>
              <w:rPr>
                <w:color w:val="000000" w:themeColor="text1"/>
              </w:rPr>
            </w:pPr>
          </w:p>
        </w:tc>
        <w:tc>
          <w:tcPr>
            <w:tcW w:w="1642" w:type="dxa"/>
            <w:vMerge/>
            <w:tcBorders>
              <w:top w:val="single" w:sz="4" w:space="0" w:color="auto"/>
              <w:left w:val="nil"/>
              <w:bottom w:val="single" w:sz="4" w:space="0" w:color="000000"/>
              <w:right w:val="nil"/>
            </w:tcBorders>
            <w:vAlign w:val="center"/>
            <w:hideMark/>
          </w:tcPr>
          <w:p w14:paraId="3646A9E6" w14:textId="77777777" w:rsidR="0013597E" w:rsidRPr="0013597E" w:rsidRDefault="0013597E" w:rsidP="00676FFA">
            <w:pPr>
              <w:tabs>
                <w:tab w:val="left" w:pos="426"/>
              </w:tabs>
              <w:ind w:left="426" w:hanging="420"/>
              <w:rPr>
                <w:color w:val="000000" w:themeColor="text1"/>
              </w:rPr>
            </w:pPr>
          </w:p>
        </w:tc>
        <w:tc>
          <w:tcPr>
            <w:tcW w:w="1514" w:type="dxa"/>
            <w:gridSpan w:val="2"/>
            <w:vMerge/>
            <w:tcBorders>
              <w:top w:val="single" w:sz="4" w:space="0" w:color="auto"/>
              <w:left w:val="nil"/>
              <w:bottom w:val="single" w:sz="4" w:space="0" w:color="000000"/>
              <w:right w:val="nil"/>
            </w:tcBorders>
            <w:vAlign w:val="center"/>
            <w:hideMark/>
          </w:tcPr>
          <w:p w14:paraId="4FF0BBB7" w14:textId="77777777" w:rsidR="0013597E" w:rsidRPr="0013597E" w:rsidRDefault="0013597E" w:rsidP="00676FFA">
            <w:pPr>
              <w:tabs>
                <w:tab w:val="left" w:pos="426"/>
              </w:tabs>
              <w:ind w:left="426" w:hanging="420"/>
              <w:rPr>
                <w:color w:val="000000" w:themeColor="text1"/>
              </w:rPr>
            </w:pPr>
          </w:p>
        </w:tc>
        <w:tc>
          <w:tcPr>
            <w:tcW w:w="1669" w:type="dxa"/>
            <w:gridSpan w:val="2"/>
            <w:vMerge/>
            <w:tcBorders>
              <w:top w:val="single" w:sz="4" w:space="0" w:color="auto"/>
              <w:left w:val="nil"/>
              <w:bottom w:val="single" w:sz="4" w:space="0" w:color="000000"/>
              <w:right w:val="nil"/>
            </w:tcBorders>
            <w:vAlign w:val="center"/>
            <w:hideMark/>
          </w:tcPr>
          <w:p w14:paraId="615E292E" w14:textId="77777777" w:rsidR="0013597E" w:rsidRPr="0013597E" w:rsidRDefault="0013597E" w:rsidP="00676FFA">
            <w:pPr>
              <w:tabs>
                <w:tab w:val="left" w:pos="426"/>
              </w:tabs>
              <w:ind w:left="426" w:hanging="420"/>
              <w:rPr>
                <w:color w:val="000000" w:themeColor="text1"/>
              </w:rPr>
            </w:pPr>
          </w:p>
        </w:tc>
        <w:tc>
          <w:tcPr>
            <w:tcW w:w="1325" w:type="dxa"/>
            <w:gridSpan w:val="2"/>
            <w:vMerge/>
            <w:tcBorders>
              <w:top w:val="single" w:sz="4" w:space="0" w:color="auto"/>
              <w:left w:val="nil"/>
              <w:bottom w:val="single" w:sz="4" w:space="0" w:color="000000"/>
              <w:right w:val="nil"/>
            </w:tcBorders>
            <w:vAlign w:val="center"/>
            <w:hideMark/>
          </w:tcPr>
          <w:p w14:paraId="745EB169" w14:textId="77777777" w:rsidR="0013597E" w:rsidRPr="0013597E" w:rsidRDefault="0013597E" w:rsidP="00676FFA">
            <w:pPr>
              <w:tabs>
                <w:tab w:val="left" w:pos="426"/>
              </w:tabs>
              <w:ind w:left="426" w:hanging="420"/>
              <w:rPr>
                <w:color w:val="000000" w:themeColor="text1"/>
              </w:rPr>
            </w:pPr>
          </w:p>
        </w:tc>
      </w:tr>
      <w:tr w:rsidR="0013597E" w:rsidRPr="0013597E" w14:paraId="773A198D" w14:textId="77777777" w:rsidTr="00E26C89">
        <w:trPr>
          <w:trHeight w:val="240"/>
        </w:trPr>
        <w:tc>
          <w:tcPr>
            <w:tcW w:w="827" w:type="dxa"/>
            <w:tcBorders>
              <w:top w:val="nil"/>
              <w:left w:val="nil"/>
              <w:bottom w:val="nil"/>
              <w:right w:val="nil"/>
            </w:tcBorders>
            <w:shd w:val="clear" w:color="auto" w:fill="auto"/>
            <w:vAlign w:val="center"/>
            <w:hideMark/>
          </w:tcPr>
          <w:p w14:paraId="0AF7956F"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1996</w:t>
            </w:r>
          </w:p>
        </w:tc>
        <w:tc>
          <w:tcPr>
            <w:tcW w:w="1669" w:type="dxa"/>
            <w:tcBorders>
              <w:top w:val="nil"/>
              <w:left w:val="nil"/>
              <w:bottom w:val="nil"/>
              <w:right w:val="nil"/>
            </w:tcBorders>
            <w:shd w:val="clear" w:color="auto" w:fill="auto"/>
            <w:vAlign w:val="center"/>
            <w:hideMark/>
          </w:tcPr>
          <w:p w14:paraId="572C6ACF"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6.6</w:t>
            </w:r>
          </w:p>
        </w:tc>
        <w:tc>
          <w:tcPr>
            <w:tcW w:w="1642" w:type="dxa"/>
            <w:tcBorders>
              <w:top w:val="nil"/>
              <w:left w:val="nil"/>
              <w:bottom w:val="nil"/>
              <w:right w:val="nil"/>
            </w:tcBorders>
            <w:shd w:val="clear" w:color="auto" w:fill="auto"/>
            <w:vAlign w:val="center"/>
            <w:hideMark/>
          </w:tcPr>
          <w:p w14:paraId="5E0A7CD6"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13.9</w:t>
            </w:r>
          </w:p>
        </w:tc>
        <w:tc>
          <w:tcPr>
            <w:tcW w:w="1642" w:type="dxa"/>
            <w:tcBorders>
              <w:top w:val="nil"/>
              <w:left w:val="nil"/>
              <w:bottom w:val="nil"/>
              <w:right w:val="nil"/>
            </w:tcBorders>
            <w:shd w:val="clear" w:color="auto" w:fill="auto"/>
            <w:vAlign w:val="center"/>
            <w:hideMark/>
          </w:tcPr>
          <w:p w14:paraId="5363FE53"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2.3</w:t>
            </w:r>
          </w:p>
        </w:tc>
        <w:tc>
          <w:tcPr>
            <w:tcW w:w="1514" w:type="dxa"/>
            <w:gridSpan w:val="2"/>
            <w:tcBorders>
              <w:top w:val="nil"/>
              <w:left w:val="nil"/>
              <w:bottom w:val="nil"/>
              <w:right w:val="nil"/>
            </w:tcBorders>
            <w:shd w:val="clear" w:color="auto" w:fill="auto"/>
            <w:vAlign w:val="center"/>
            <w:hideMark/>
          </w:tcPr>
          <w:p w14:paraId="3E209529"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0.7</w:t>
            </w:r>
          </w:p>
        </w:tc>
        <w:tc>
          <w:tcPr>
            <w:tcW w:w="1669" w:type="dxa"/>
            <w:gridSpan w:val="2"/>
            <w:tcBorders>
              <w:top w:val="nil"/>
              <w:left w:val="nil"/>
              <w:bottom w:val="nil"/>
              <w:right w:val="nil"/>
            </w:tcBorders>
            <w:shd w:val="clear" w:color="auto" w:fill="auto"/>
            <w:vAlign w:val="center"/>
            <w:hideMark/>
          </w:tcPr>
          <w:p w14:paraId="03072C07"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0.2</w:t>
            </w:r>
          </w:p>
        </w:tc>
        <w:tc>
          <w:tcPr>
            <w:tcW w:w="1325" w:type="dxa"/>
            <w:gridSpan w:val="2"/>
            <w:tcBorders>
              <w:top w:val="nil"/>
              <w:left w:val="nil"/>
              <w:bottom w:val="nil"/>
              <w:right w:val="nil"/>
            </w:tcBorders>
            <w:shd w:val="clear" w:color="auto" w:fill="auto"/>
            <w:vAlign w:val="center"/>
            <w:hideMark/>
          </w:tcPr>
          <w:p w14:paraId="4530ABC2"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23.7</w:t>
            </w:r>
          </w:p>
        </w:tc>
      </w:tr>
      <w:tr w:rsidR="0013597E" w:rsidRPr="0013597E" w14:paraId="3514E780" w14:textId="77777777" w:rsidTr="00E26C89">
        <w:trPr>
          <w:trHeight w:val="240"/>
        </w:trPr>
        <w:tc>
          <w:tcPr>
            <w:tcW w:w="827" w:type="dxa"/>
            <w:tcBorders>
              <w:top w:val="nil"/>
              <w:left w:val="nil"/>
              <w:bottom w:val="nil"/>
              <w:right w:val="nil"/>
            </w:tcBorders>
            <w:shd w:val="clear" w:color="auto" w:fill="auto"/>
            <w:vAlign w:val="center"/>
            <w:hideMark/>
          </w:tcPr>
          <w:p w14:paraId="0AF33288"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2007</w:t>
            </w:r>
          </w:p>
        </w:tc>
        <w:tc>
          <w:tcPr>
            <w:tcW w:w="1669" w:type="dxa"/>
            <w:tcBorders>
              <w:top w:val="nil"/>
              <w:left w:val="nil"/>
              <w:bottom w:val="nil"/>
              <w:right w:val="nil"/>
            </w:tcBorders>
            <w:shd w:val="clear" w:color="auto" w:fill="auto"/>
            <w:vAlign w:val="center"/>
            <w:hideMark/>
          </w:tcPr>
          <w:p w14:paraId="2EE64C12"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7.4</w:t>
            </w:r>
          </w:p>
        </w:tc>
        <w:tc>
          <w:tcPr>
            <w:tcW w:w="1642" w:type="dxa"/>
            <w:tcBorders>
              <w:top w:val="nil"/>
              <w:left w:val="nil"/>
              <w:bottom w:val="nil"/>
              <w:right w:val="nil"/>
            </w:tcBorders>
            <w:shd w:val="clear" w:color="auto" w:fill="auto"/>
            <w:vAlign w:val="center"/>
            <w:hideMark/>
          </w:tcPr>
          <w:p w14:paraId="54011F03"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14.6</w:t>
            </w:r>
          </w:p>
        </w:tc>
        <w:tc>
          <w:tcPr>
            <w:tcW w:w="1642" w:type="dxa"/>
            <w:tcBorders>
              <w:top w:val="nil"/>
              <w:left w:val="nil"/>
              <w:bottom w:val="nil"/>
              <w:right w:val="nil"/>
            </w:tcBorders>
            <w:shd w:val="clear" w:color="auto" w:fill="auto"/>
            <w:vAlign w:val="center"/>
            <w:hideMark/>
          </w:tcPr>
          <w:p w14:paraId="4A0F9313"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2.6</w:t>
            </w:r>
          </w:p>
        </w:tc>
        <w:tc>
          <w:tcPr>
            <w:tcW w:w="1514" w:type="dxa"/>
            <w:gridSpan w:val="2"/>
            <w:tcBorders>
              <w:top w:val="nil"/>
              <w:left w:val="nil"/>
              <w:bottom w:val="nil"/>
              <w:right w:val="nil"/>
            </w:tcBorders>
            <w:shd w:val="clear" w:color="auto" w:fill="auto"/>
            <w:vAlign w:val="center"/>
            <w:hideMark/>
          </w:tcPr>
          <w:p w14:paraId="528A29B3"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0.8</w:t>
            </w:r>
          </w:p>
        </w:tc>
        <w:tc>
          <w:tcPr>
            <w:tcW w:w="1669" w:type="dxa"/>
            <w:gridSpan w:val="2"/>
            <w:tcBorders>
              <w:top w:val="nil"/>
              <w:left w:val="nil"/>
              <w:bottom w:val="nil"/>
              <w:right w:val="nil"/>
            </w:tcBorders>
            <w:shd w:val="clear" w:color="auto" w:fill="auto"/>
            <w:vAlign w:val="center"/>
            <w:hideMark/>
          </w:tcPr>
          <w:p w14:paraId="196EA427"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0.2</w:t>
            </w:r>
          </w:p>
        </w:tc>
        <w:tc>
          <w:tcPr>
            <w:tcW w:w="1325" w:type="dxa"/>
            <w:gridSpan w:val="2"/>
            <w:tcBorders>
              <w:top w:val="nil"/>
              <w:left w:val="nil"/>
              <w:bottom w:val="nil"/>
              <w:right w:val="nil"/>
            </w:tcBorders>
            <w:shd w:val="clear" w:color="auto" w:fill="auto"/>
            <w:vAlign w:val="center"/>
            <w:hideMark/>
          </w:tcPr>
          <w:p w14:paraId="449C23C4"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25.6</w:t>
            </w:r>
          </w:p>
        </w:tc>
      </w:tr>
      <w:tr w:rsidR="0013597E" w:rsidRPr="0013597E" w14:paraId="20E05B30" w14:textId="77777777" w:rsidTr="00E26C89">
        <w:trPr>
          <w:trHeight w:val="240"/>
        </w:trPr>
        <w:tc>
          <w:tcPr>
            <w:tcW w:w="827" w:type="dxa"/>
            <w:tcBorders>
              <w:top w:val="nil"/>
              <w:left w:val="nil"/>
              <w:bottom w:val="single" w:sz="4" w:space="0" w:color="auto"/>
              <w:right w:val="nil"/>
            </w:tcBorders>
            <w:shd w:val="clear" w:color="auto" w:fill="auto"/>
            <w:vAlign w:val="center"/>
            <w:hideMark/>
          </w:tcPr>
          <w:p w14:paraId="7E01F668"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2017</w:t>
            </w:r>
          </w:p>
        </w:tc>
        <w:tc>
          <w:tcPr>
            <w:tcW w:w="1669" w:type="dxa"/>
            <w:tcBorders>
              <w:top w:val="nil"/>
              <w:left w:val="nil"/>
              <w:bottom w:val="single" w:sz="4" w:space="0" w:color="auto"/>
              <w:right w:val="nil"/>
            </w:tcBorders>
            <w:shd w:val="clear" w:color="auto" w:fill="auto"/>
            <w:vAlign w:val="center"/>
            <w:hideMark/>
          </w:tcPr>
          <w:p w14:paraId="2C56FCFA"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7.7</w:t>
            </w:r>
          </w:p>
        </w:tc>
        <w:tc>
          <w:tcPr>
            <w:tcW w:w="1642" w:type="dxa"/>
            <w:tcBorders>
              <w:top w:val="nil"/>
              <w:left w:val="nil"/>
              <w:bottom w:val="single" w:sz="4" w:space="0" w:color="auto"/>
              <w:right w:val="nil"/>
            </w:tcBorders>
            <w:shd w:val="clear" w:color="auto" w:fill="auto"/>
            <w:vAlign w:val="center"/>
            <w:hideMark/>
          </w:tcPr>
          <w:p w14:paraId="2033CCC7"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15.7</w:t>
            </w:r>
          </w:p>
        </w:tc>
        <w:tc>
          <w:tcPr>
            <w:tcW w:w="1642" w:type="dxa"/>
            <w:tcBorders>
              <w:top w:val="nil"/>
              <w:left w:val="nil"/>
              <w:bottom w:val="single" w:sz="4" w:space="0" w:color="auto"/>
              <w:right w:val="nil"/>
            </w:tcBorders>
            <w:shd w:val="clear" w:color="auto" w:fill="auto"/>
            <w:vAlign w:val="center"/>
            <w:hideMark/>
          </w:tcPr>
          <w:p w14:paraId="7E43AC7B"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2.7</w:t>
            </w:r>
          </w:p>
        </w:tc>
        <w:tc>
          <w:tcPr>
            <w:tcW w:w="1514" w:type="dxa"/>
            <w:gridSpan w:val="2"/>
            <w:tcBorders>
              <w:top w:val="nil"/>
              <w:left w:val="nil"/>
              <w:bottom w:val="single" w:sz="4" w:space="0" w:color="auto"/>
              <w:right w:val="nil"/>
            </w:tcBorders>
            <w:shd w:val="clear" w:color="auto" w:fill="auto"/>
            <w:vAlign w:val="center"/>
            <w:hideMark/>
          </w:tcPr>
          <w:p w14:paraId="053CE1C0"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0.8</w:t>
            </w:r>
          </w:p>
        </w:tc>
        <w:tc>
          <w:tcPr>
            <w:tcW w:w="1669" w:type="dxa"/>
            <w:gridSpan w:val="2"/>
            <w:tcBorders>
              <w:top w:val="nil"/>
              <w:left w:val="nil"/>
              <w:bottom w:val="single" w:sz="4" w:space="0" w:color="auto"/>
              <w:right w:val="nil"/>
            </w:tcBorders>
            <w:shd w:val="clear" w:color="auto" w:fill="auto"/>
            <w:vAlign w:val="center"/>
            <w:hideMark/>
          </w:tcPr>
          <w:p w14:paraId="0BAD27FE"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0.3</w:t>
            </w:r>
          </w:p>
        </w:tc>
        <w:tc>
          <w:tcPr>
            <w:tcW w:w="1325" w:type="dxa"/>
            <w:gridSpan w:val="2"/>
            <w:tcBorders>
              <w:top w:val="nil"/>
              <w:left w:val="nil"/>
              <w:bottom w:val="single" w:sz="4" w:space="0" w:color="auto"/>
              <w:right w:val="nil"/>
            </w:tcBorders>
            <w:shd w:val="clear" w:color="auto" w:fill="auto"/>
            <w:vAlign w:val="center"/>
            <w:hideMark/>
          </w:tcPr>
          <w:p w14:paraId="0CE3F951" w14:textId="77777777" w:rsidR="0013597E" w:rsidRPr="0013597E" w:rsidRDefault="0013597E" w:rsidP="00676FFA">
            <w:pPr>
              <w:tabs>
                <w:tab w:val="left" w:pos="426"/>
              </w:tabs>
              <w:ind w:left="426" w:hanging="420"/>
              <w:contextualSpacing/>
              <w:rPr>
                <w:color w:val="000000" w:themeColor="text1"/>
              </w:rPr>
            </w:pPr>
            <w:r w:rsidRPr="0013597E">
              <w:rPr>
                <w:color w:val="000000" w:themeColor="text1"/>
              </w:rPr>
              <w:t>27.2</w:t>
            </w:r>
          </w:p>
        </w:tc>
      </w:tr>
      <w:tr w:rsidR="0013597E" w:rsidRPr="0013597E" w14:paraId="426F11F1" w14:textId="77777777" w:rsidTr="00E26C89">
        <w:trPr>
          <w:trHeight w:val="240"/>
        </w:trPr>
        <w:tc>
          <w:tcPr>
            <w:tcW w:w="10288" w:type="dxa"/>
            <w:gridSpan w:val="10"/>
            <w:tcBorders>
              <w:top w:val="single" w:sz="4" w:space="0" w:color="auto"/>
              <w:left w:val="nil"/>
              <w:bottom w:val="nil"/>
              <w:right w:val="nil"/>
            </w:tcBorders>
            <w:shd w:val="clear" w:color="auto" w:fill="auto"/>
            <w:noWrap/>
            <w:vAlign w:val="center"/>
            <w:hideMark/>
          </w:tcPr>
          <w:p w14:paraId="5A171435" w14:textId="77777777" w:rsidR="0013597E" w:rsidRPr="0013597E" w:rsidRDefault="0013597E" w:rsidP="00676FFA">
            <w:pPr>
              <w:tabs>
                <w:tab w:val="left" w:pos="426"/>
              </w:tabs>
              <w:ind w:left="426" w:hanging="420"/>
              <w:rPr>
                <w:i/>
                <w:color w:val="000000" w:themeColor="text1"/>
                <w:sz w:val="20"/>
                <w:szCs w:val="20"/>
              </w:rPr>
            </w:pPr>
            <w:r w:rsidRPr="0013597E">
              <w:rPr>
                <w:i/>
                <w:color w:val="000000" w:themeColor="text1"/>
                <w:sz w:val="20"/>
                <w:szCs w:val="20"/>
              </w:rPr>
              <w:t>Source:  Labour Force Survey, Office for National Statistics</w:t>
            </w:r>
          </w:p>
        </w:tc>
      </w:tr>
      <w:tr w:rsidR="0013597E" w:rsidRPr="0013597E" w14:paraId="1687D691" w14:textId="77777777" w:rsidTr="00E26C89">
        <w:trPr>
          <w:trHeight w:val="240"/>
        </w:trPr>
        <w:tc>
          <w:tcPr>
            <w:tcW w:w="10288" w:type="dxa"/>
            <w:gridSpan w:val="10"/>
            <w:tcBorders>
              <w:top w:val="nil"/>
              <w:left w:val="nil"/>
              <w:bottom w:val="nil"/>
              <w:right w:val="nil"/>
            </w:tcBorders>
            <w:shd w:val="clear" w:color="auto" w:fill="auto"/>
            <w:noWrap/>
            <w:vAlign w:val="center"/>
            <w:hideMark/>
          </w:tcPr>
          <w:p w14:paraId="3A10187A" w14:textId="77777777" w:rsidR="0013597E" w:rsidRPr="0013597E" w:rsidRDefault="0013597E" w:rsidP="00063B20">
            <w:pPr>
              <w:tabs>
                <w:tab w:val="left" w:pos="249"/>
              </w:tabs>
              <w:ind w:left="249" w:hanging="243"/>
              <w:contextualSpacing/>
              <w:rPr>
                <w:color w:val="000000" w:themeColor="text1"/>
                <w:sz w:val="20"/>
                <w:szCs w:val="20"/>
              </w:rPr>
            </w:pPr>
            <w:r w:rsidRPr="0013597E">
              <w:rPr>
                <w:color w:val="000000" w:themeColor="text1"/>
                <w:sz w:val="20"/>
                <w:szCs w:val="20"/>
              </w:rPr>
              <w:t>1. Households where there is one family and one individual for example a married couple with their daughter and a lodger or a married couple with one elderly parent are classified as a one family household: couple.</w:t>
            </w:r>
          </w:p>
        </w:tc>
      </w:tr>
      <w:tr w:rsidR="0013597E" w:rsidRPr="0013597E" w14:paraId="217E6755" w14:textId="77777777" w:rsidTr="00E26C89">
        <w:trPr>
          <w:trHeight w:val="240"/>
        </w:trPr>
        <w:tc>
          <w:tcPr>
            <w:tcW w:w="10288" w:type="dxa"/>
            <w:gridSpan w:val="10"/>
            <w:tcBorders>
              <w:top w:val="nil"/>
              <w:left w:val="nil"/>
              <w:bottom w:val="nil"/>
              <w:right w:val="nil"/>
            </w:tcBorders>
            <w:shd w:val="clear" w:color="auto" w:fill="auto"/>
            <w:noWrap/>
            <w:vAlign w:val="center"/>
            <w:hideMark/>
          </w:tcPr>
          <w:p w14:paraId="06C07CBF" w14:textId="46274972" w:rsidR="0013597E" w:rsidRPr="0013597E" w:rsidRDefault="0013597E" w:rsidP="00063B20">
            <w:pPr>
              <w:tabs>
                <w:tab w:val="left" w:pos="249"/>
              </w:tabs>
              <w:ind w:left="249" w:hanging="243"/>
              <w:contextualSpacing/>
              <w:rPr>
                <w:color w:val="000000" w:themeColor="text1"/>
                <w:sz w:val="20"/>
                <w:szCs w:val="20"/>
              </w:rPr>
            </w:pPr>
            <w:r w:rsidRPr="0013597E">
              <w:rPr>
                <w:color w:val="000000" w:themeColor="text1"/>
                <w:sz w:val="20"/>
                <w:szCs w:val="20"/>
              </w:rPr>
              <w:t>2. ‘One family household: couple’ and ‘One family household: lone parent’ can contain dependent and non-dependent children.</w:t>
            </w:r>
          </w:p>
        </w:tc>
      </w:tr>
    </w:tbl>
    <w:p w14:paraId="330DEF0A" w14:textId="72B98631" w:rsidR="0013597E" w:rsidRPr="0013597E" w:rsidRDefault="0013597E" w:rsidP="001050ED">
      <w:pPr>
        <w:tabs>
          <w:tab w:val="left" w:pos="426"/>
        </w:tabs>
        <w:rPr>
          <w:b/>
          <w:color w:val="000000" w:themeColor="text1"/>
        </w:rPr>
      </w:pPr>
    </w:p>
    <w:sectPr w:rsidR="0013597E" w:rsidRPr="0013597E" w:rsidSect="007D7084">
      <w:headerReference w:type="first" r:id="rId8"/>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049CC" w14:textId="77777777" w:rsidR="00223302" w:rsidRDefault="00223302" w:rsidP="0013597E">
      <w:pPr>
        <w:spacing w:after="0" w:line="240" w:lineRule="auto"/>
      </w:pPr>
      <w:r>
        <w:separator/>
      </w:r>
    </w:p>
  </w:endnote>
  <w:endnote w:type="continuationSeparator" w:id="0">
    <w:p w14:paraId="02A312B2" w14:textId="77777777" w:rsidR="00223302" w:rsidRDefault="00223302" w:rsidP="0013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1A060" w14:textId="77777777" w:rsidR="00223302" w:rsidRDefault="00223302" w:rsidP="0013597E">
      <w:pPr>
        <w:spacing w:after="0" w:line="240" w:lineRule="auto"/>
      </w:pPr>
      <w:r>
        <w:separator/>
      </w:r>
    </w:p>
  </w:footnote>
  <w:footnote w:type="continuationSeparator" w:id="0">
    <w:p w14:paraId="432D3E7F" w14:textId="77777777" w:rsidR="00223302" w:rsidRDefault="00223302" w:rsidP="0013597E">
      <w:pPr>
        <w:spacing w:after="0" w:line="240" w:lineRule="auto"/>
      </w:pPr>
      <w:r>
        <w:continuationSeparator/>
      </w:r>
    </w:p>
  </w:footnote>
  <w:footnote w:id="1">
    <w:p w14:paraId="0EFCB37C" w14:textId="7DA824FC" w:rsidR="003A4049" w:rsidRPr="005862BB" w:rsidRDefault="003A4049" w:rsidP="003A4049">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sidRPr="005862BB">
        <w:rPr>
          <w:rFonts w:cstheme="minorHAnsi"/>
          <w:color w:val="000000" w:themeColor="text1"/>
          <w:sz w:val="20"/>
          <w:szCs w:val="20"/>
        </w:rPr>
        <w:t xml:space="preserve"> </w:t>
      </w:r>
      <w:r>
        <w:rPr>
          <w:rFonts w:cstheme="minorHAnsi"/>
          <w:color w:val="000000" w:themeColor="text1"/>
          <w:sz w:val="20"/>
          <w:szCs w:val="20"/>
        </w:rPr>
        <w:tab/>
      </w:r>
      <w:r w:rsidRPr="005862BB">
        <w:rPr>
          <w:rFonts w:cstheme="minorHAnsi"/>
          <w:color w:val="000000" w:themeColor="text1"/>
          <w:sz w:val="20"/>
          <w:szCs w:val="20"/>
        </w:rPr>
        <w:t xml:space="preserve">Statistics in this and the following </w:t>
      </w:r>
      <w:r w:rsidR="005B25A6">
        <w:rPr>
          <w:rFonts w:cstheme="minorHAnsi"/>
          <w:color w:val="000000" w:themeColor="text1"/>
          <w:sz w:val="20"/>
          <w:szCs w:val="20"/>
        </w:rPr>
        <w:t xml:space="preserve">two </w:t>
      </w:r>
      <w:r w:rsidRPr="005862BB">
        <w:rPr>
          <w:rFonts w:cstheme="minorHAnsi"/>
          <w:color w:val="000000" w:themeColor="text1"/>
          <w:sz w:val="20"/>
          <w:szCs w:val="20"/>
        </w:rPr>
        <w:t>paragraph</w:t>
      </w:r>
      <w:r w:rsidR="00116C11">
        <w:rPr>
          <w:rFonts w:cstheme="minorHAnsi"/>
          <w:color w:val="000000" w:themeColor="text1"/>
          <w:sz w:val="20"/>
          <w:szCs w:val="20"/>
        </w:rPr>
        <w:t>s</w:t>
      </w:r>
      <w:r w:rsidRPr="005862BB">
        <w:rPr>
          <w:rFonts w:cstheme="minorHAnsi"/>
          <w:color w:val="000000" w:themeColor="text1"/>
          <w:sz w:val="20"/>
          <w:szCs w:val="20"/>
        </w:rPr>
        <w:t xml:space="preserve"> are taken from Office of National Statistics Statistical Bulletin “Sexual </w:t>
      </w:r>
      <w:r w:rsidR="005B25A6">
        <w:rPr>
          <w:rFonts w:cstheme="minorHAnsi"/>
          <w:color w:val="000000" w:themeColor="text1"/>
          <w:sz w:val="20"/>
          <w:szCs w:val="20"/>
        </w:rPr>
        <w:t>Orientation</w:t>
      </w:r>
      <w:r w:rsidRPr="005862BB">
        <w:rPr>
          <w:rFonts w:cstheme="minorHAnsi"/>
          <w:color w:val="000000" w:themeColor="text1"/>
          <w:sz w:val="20"/>
          <w:szCs w:val="20"/>
        </w:rPr>
        <w:t xml:space="preserve">, UK: 2016” released on </w:t>
      </w:r>
      <w:r w:rsidR="00B70EB1">
        <w:rPr>
          <w:rFonts w:cstheme="minorHAnsi"/>
          <w:color w:val="000000" w:themeColor="text1"/>
          <w:sz w:val="20"/>
          <w:szCs w:val="20"/>
        </w:rPr>
        <w:t xml:space="preserve">21 </w:t>
      </w:r>
      <w:proofErr w:type="gramStart"/>
      <w:r w:rsidR="00B70EB1">
        <w:rPr>
          <w:rFonts w:cstheme="minorHAnsi"/>
          <w:color w:val="000000" w:themeColor="text1"/>
          <w:sz w:val="20"/>
          <w:szCs w:val="20"/>
        </w:rPr>
        <w:t>January</w:t>
      </w:r>
      <w:r w:rsidR="00EB4AAD">
        <w:rPr>
          <w:rFonts w:cstheme="minorHAnsi"/>
          <w:color w:val="000000" w:themeColor="text1"/>
          <w:sz w:val="20"/>
          <w:szCs w:val="20"/>
        </w:rPr>
        <w:t>,</w:t>
      </w:r>
      <w:proofErr w:type="gramEnd"/>
      <w:r w:rsidR="0065159B">
        <w:rPr>
          <w:rFonts w:cstheme="minorHAnsi"/>
          <w:color w:val="000000" w:themeColor="text1"/>
          <w:sz w:val="20"/>
          <w:szCs w:val="20"/>
        </w:rPr>
        <w:t xml:space="preserve"> </w:t>
      </w:r>
      <w:r w:rsidR="00B70EB1">
        <w:rPr>
          <w:rFonts w:cstheme="minorHAnsi"/>
          <w:color w:val="000000" w:themeColor="text1"/>
          <w:sz w:val="20"/>
          <w:szCs w:val="20"/>
        </w:rPr>
        <w:t>2019</w:t>
      </w:r>
      <w:r w:rsidR="0065159B">
        <w:rPr>
          <w:rFonts w:cstheme="minorHAnsi"/>
          <w:color w:val="000000" w:themeColor="text1"/>
          <w:sz w:val="20"/>
          <w:szCs w:val="20"/>
        </w:rPr>
        <w:t xml:space="preserve">. </w:t>
      </w:r>
      <w:hyperlink r:id="rId1" w:history="1">
        <w:r w:rsidR="007618F2" w:rsidRPr="009105A7">
          <w:rPr>
            <w:rStyle w:val="Hyperlink"/>
            <w:rFonts w:cstheme="minorHAnsi"/>
            <w:sz w:val="20"/>
            <w:szCs w:val="20"/>
          </w:rPr>
          <w:t>ons.gov.uk/peoplepopulationandcommunity/culturalidentity/sexuality/bulletins/sexualidentityuk/2017</w:t>
        </w:r>
      </w:hyperlink>
      <w:r w:rsidR="007618F2">
        <w:rPr>
          <w:rFonts w:cstheme="minorHAnsi"/>
          <w:color w:val="000000" w:themeColor="text1"/>
          <w:sz w:val="20"/>
          <w:szCs w:val="20"/>
        </w:rPr>
        <w:t xml:space="preserve"> </w:t>
      </w:r>
      <w:r w:rsidR="00AD5DC9">
        <w:rPr>
          <w:rFonts w:cstheme="minorHAnsi"/>
          <w:color w:val="000000" w:themeColor="text1"/>
          <w:sz w:val="20"/>
          <w:szCs w:val="20"/>
        </w:rPr>
        <w:t xml:space="preserve">   (accessed 23 </w:t>
      </w:r>
      <w:proofErr w:type="gramStart"/>
      <w:r w:rsidR="00AD5DC9">
        <w:rPr>
          <w:rFonts w:cstheme="minorHAnsi"/>
          <w:color w:val="000000" w:themeColor="text1"/>
          <w:sz w:val="20"/>
          <w:szCs w:val="20"/>
        </w:rPr>
        <w:t>April</w:t>
      </w:r>
      <w:r w:rsidR="00EB4AAD">
        <w:rPr>
          <w:rFonts w:cstheme="minorHAnsi"/>
          <w:color w:val="000000" w:themeColor="text1"/>
          <w:sz w:val="20"/>
          <w:szCs w:val="20"/>
        </w:rPr>
        <w:t>,</w:t>
      </w:r>
      <w:proofErr w:type="gramEnd"/>
      <w:r w:rsidR="00AD5DC9">
        <w:rPr>
          <w:rFonts w:cstheme="minorHAnsi"/>
          <w:color w:val="000000" w:themeColor="text1"/>
          <w:sz w:val="20"/>
          <w:szCs w:val="20"/>
        </w:rPr>
        <w:t xml:space="preserve"> 2019). </w:t>
      </w:r>
    </w:p>
  </w:footnote>
  <w:footnote w:id="2">
    <w:p w14:paraId="67CE869A" w14:textId="5348FA44" w:rsidR="0013597E" w:rsidRPr="005862BB" w:rsidRDefault="0013597E" w:rsidP="0013597E">
      <w:pPr>
        <w:tabs>
          <w:tab w:val="left" w:pos="284"/>
        </w:tabs>
        <w:spacing w:after="0" w:line="240" w:lineRule="auto"/>
        <w:ind w:left="284" w:hanging="284"/>
        <w:contextualSpacing/>
        <w:rPr>
          <w:rFonts w:cstheme="minorHAnsi"/>
          <w:color w:val="000000" w:themeColor="text1"/>
          <w:sz w:val="20"/>
          <w:szCs w:val="20"/>
        </w:rPr>
      </w:pPr>
      <w:r w:rsidRPr="005862BB">
        <w:rPr>
          <w:rStyle w:val="FootnoteReference"/>
          <w:rFonts w:cstheme="minorHAnsi"/>
          <w:color w:val="000000" w:themeColor="text1"/>
          <w:sz w:val="20"/>
          <w:szCs w:val="20"/>
        </w:rPr>
        <w:footnoteRef/>
      </w:r>
      <w:r w:rsidRPr="005862BB">
        <w:rPr>
          <w:rFonts w:cstheme="minorHAnsi"/>
          <w:color w:val="000000" w:themeColor="text1"/>
          <w:sz w:val="20"/>
          <w:szCs w:val="20"/>
        </w:rPr>
        <w:t xml:space="preserve"> </w:t>
      </w:r>
      <w:r>
        <w:rPr>
          <w:rFonts w:cstheme="minorHAnsi"/>
          <w:color w:val="000000" w:themeColor="text1"/>
          <w:sz w:val="20"/>
          <w:szCs w:val="20"/>
        </w:rPr>
        <w:tab/>
      </w:r>
      <w:r w:rsidRPr="005862BB">
        <w:rPr>
          <w:rFonts w:cstheme="minorHAnsi"/>
          <w:color w:val="000000" w:themeColor="text1"/>
          <w:sz w:val="20"/>
          <w:szCs w:val="20"/>
        </w:rPr>
        <w:t xml:space="preserve">The information in this and the succeeding paragraphs is quoted from the Office for National Statistics Statistical Bulletin “Families and Households: 2017” released on 08 November 2017 </w:t>
      </w:r>
      <w:hyperlink r:id="rId2" w:history="1">
        <w:r w:rsidRPr="005862BB">
          <w:rPr>
            <w:rStyle w:val="Hyperlink"/>
            <w:rFonts w:cstheme="minorHAnsi"/>
            <w:color w:val="000000" w:themeColor="text1"/>
            <w:sz w:val="20"/>
            <w:szCs w:val="20"/>
          </w:rPr>
          <w:t>ons.gov.uk/peoplepopulationandcommunity/birthsdeathsandmarriages/families/bulletins/familiesandhouseholds/2017</w:t>
        </w:r>
      </w:hyperlink>
      <w:r w:rsidRPr="005862BB">
        <w:rPr>
          <w:rFonts w:cstheme="minorHAnsi"/>
          <w:color w:val="000000" w:themeColor="text1"/>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9922" w14:textId="3E00FB60" w:rsidR="004C4710" w:rsidRPr="001A6C9C" w:rsidRDefault="007D7084" w:rsidP="001A6C9C">
    <w:pPr>
      <w:pStyle w:val="Header"/>
      <w:jc w:val="right"/>
      <w:rPr>
        <w:b/>
        <w:sz w:val="28"/>
        <w:szCs w:val="28"/>
      </w:rPr>
    </w:pPr>
    <w:r w:rsidRPr="00EE793F">
      <w:rPr>
        <w:b/>
        <w:sz w:val="28"/>
        <w:szCs w:val="28"/>
      </w:rPr>
      <w:t>GOD IN LOVE UNITES US: A</w:t>
    </w:r>
    <w:r w:rsidR="00E37D63">
      <w:rPr>
        <w:b/>
        <w:sz w:val="28"/>
        <w:szCs w:val="28"/>
      </w:rPr>
      <w:t>NCILLARY PAPER</w:t>
    </w:r>
    <w:r w:rsidRPr="00EE793F">
      <w:rPr>
        <w:b/>
        <w:sz w:val="28"/>
        <w:szCs w:val="28"/>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3723B"/>
    <w:multiLevelType w:val="multilevel"/>
    <w:tmpl w:val="01A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143F8"/>
    <w:multiLevelType w:val="hybridMultilevel"/>
    <w:tmpl w:val="96687F14"/>
    <w:lvl w:ilvl="0" w:tplc="C262E636">
      <w:start w:val="1"/>
      <w:numFmt w:val="decimal"/>
      <w:lvlText w:val="A%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2" w15:restartNumberingAfterBreak="0">
    <w:nsid w:val="728F1E12"/>
    <w:multiLevelType w:val="hybridMultilevel"/>
    <w:tmpl w:val="96687F14"/>
    <w:lvl w:ilvl="0" w:tplc="C262E636">
      <w:start w:val="1"/>
      <w:numFmt w:val="decimal"/>
      <w:lvlText w:val="A%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7E"/>
    <w:rsid w:val="00003338"/>
    <w:rsid w:val="000052F8"/>
    <w:rsid w:val="00022E50"/>
    <w:rsid w:val="00036486"/>
    <w:rsid w:val="00045EDC"/>
    <w:rsid w:val="00063B20"/>
    <w:rsid w:val="00086AF1"/>
    <w:rsid w:val="00087C2C"/>
    <w:rsid w:val="000E4BFC"/>
    <w:rsid w:val="001050ED"/>
    <w:rsid w:val="00116C11"/>
    <w:rsid w:val="0013597E"/>
    <w:rsid w:val="00171C22"/>
    <w:rsid w:val="001770BD"/>
    <w:rsid w:val="001A6C9C"/>
    <w:rsid w:val="001A73C1"/>
    <w:rsid w:val="001A7942"/>
    <w:rsid w:val="001D0717"/>
    <w:rsid w:val="001D2EC0"/>
    <w:rsid w:val="001D5329"/>
    <w:rsid w:val="002007C2"/>
    <w:rsid w:val="00223302"/>
    <w:rsid w:val="00243925"/>
    <w:rsid w:val="00245F75"/>
    <w:rsid w:val="002E08BE"/>
    <w:rsid w:val="002F0A75"/>
    <w:rsid w:val="00327350"/>
    <w:rsid w:val="00335633"/>
    <w:rsid w:val="00345F64"/>
    <w:rsid w:val="0035483C"/>
    <w:rsid w:val="00390151"/>
    <w:rsid w:val="003A4049"/>
    <w:rsid w:val="003A4C78"/>
    <w:rsid w:val="003C323B"/>
    <w:rsid w:val="00427727"/>
    <w:rsid w:val="00456999"/>
    <w:rsid w:val="004C4710"/>
    <w:rsid w:val="004C4AAA"/>
    <w:rsid w:val="005054DA"/>
    <w:rsid w:val="005846F2"/>
    <w:rsid w:val="005A6676"/>
    <w:rsid w:val="005B25A6"/>
    <w:rsid w:val="006472BA"/>
    <w:rsid w:val="0065159B"/>
    <w:rsid w:val="00676FFA"/>
    <w:rsid w:val="00705E68"/>
    <w:rsid w:val="00722ACA"/>
    <w:rsid w:val="007319FE"/>
    <w:rsid w:val="007473BD"/>
    <w:rsid w:val="007618F2"/>
    <w:rsid w:val="007D7084"/>
    <w:rsid w:val="00857D49"/>
    <w:rsid w:val="008A0BC1"/>
    <w:rsid w:val="008B7830"/>
    <w:rsid w:val="008E17BA"/>
    <w:rsid w:val="00923433"/>
    <w:rsid w:val="009C62B4"/>
    <w:rsid w:val="009D1554"/>
    <w:rsid w:val="00A435CB"/>
    <w:rsid w:val="00AA2C71"/>
    <w:rsid w:val="00AB3153"/>
    <w:rsid w:val="00AB41D1"/>
    <w:rsid w:val="00AD5DC9"/>
    <w:rsid w:val="00AE0759"/>
    <w:rsid w:val="00AE374E"/>
    <w:rsid w:val="00AF72DC"/>
    <w:rsid w:val="00B0084B"/>
    <w:rsid w:val="00B30A4B"/>
    <w:rsid w:val="00B30C6F"/>
    <w:rsid w:val="00B47FC1"/>
    <w:rsid w:val="00B70EB1"/>
    <w:rsid w:val="00B916E9"/>
    <w:rsid w:val="00BE52A1"/>
    <w:rsid w:val="00C11D87"/>
    <w:rsid w:val="00C155CA"/>
    <w:rsid w:val="00C25641"/>
    <w:rsid w:val="00C37519"/>
    <w:rsid w:val="00C37D29"/>
    <w:rsid w:val="00C963C0"/>
    <w:rsid w:val="00CB0BCB"/>
    <w:rsid w:val="00CB0C1B"/>
    <w:rsid w:val="00CF577D"/>
    <w:rsid w:val="00D54B8C"/>
    <w:rsid w:val="00D75E7A"/>
    <w:rsid w:val="00D77AF3"/>
    <w:rsid w:val="00DA4BB1"/>
    <w:rsid w:val="00DD2E79"/>
    <w:rsid w:val="00DD6096"/>
    <w:rsid w:val="00DF0339"/>
    <w:rsid w:val="00E26C89"/>
    <w:rsid w:val="00E31F82"/>
    <w:rsid w:val="00E37D63"/>
    <w:rsid w:val="00E44B3E"/>
    <w:rsid w:val="00E56D81"/>
    <w:rsid w:val="00EA1494"/>
    <w:rsid w:val="00EB0C71"/>
    <w:rsid w:val="00EB1E3F"/>
    <w:rsid w:val="00EB4AAD"/>
    <w:rsid w:val="00EC1A24"/>
    <w:rsid w:val="00EE793F"/>
    <w:rsid w:val="00F03B40"/>
    <w:rsid w:val="00FC1E4B"/>
    <w:rsid w:val="00FF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A94F"/>
  <w15:chartTrackingRefBased/>
  <w15:docId w15:val="{FA2DF66B-94AE-4A4F-89E1-59F1EAF2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97E"/>
    <w:rPr>
      <w:sz w:val="20"/>
      <w:szCs w:val="20"/>
    </w:rPr>
  </w:style>
  <w:style w:type="character" w:styleId="FootnoteReference">
    <w:name w:val="footnote reference"/>
    <w:uiPriority w:val="99"/>
    <w:semiHidden/>
    <w:rsid w:val="0013597E"/>
    <w:rPr>
      <w:rFonts w:cs="Times New Roman"/>
      <w:vertAlign w:val="superscript"/>
    </w:rPr>
  </w:style>
  <w:style w:type="character" w:styleId="Hyperlink">
    <w:name w:val="Hyperlink"/>
    <w:basedOn w:val="DefaultParagraphFont"/>
    <w:uiPriority w:val="99"/>
    <w:unhideWhenUsed/>
    <w:rsid w:val="0013597E"/>
    <w:rPr>
      <w:color w:val="0563C1" w:themeColor="hyperlink"/>
      <w:u w:val="single"/>
    </w:rPr>
  </w:style>
  <w:style w:type="paragraph" w:styleId="Header">
    <w:name w:val="header"/>
    <w:basedOn w:val="Normal"/>
    <w:link w:val="HeaderChar"/>
    <w:uiPriority w:val="99"/>
    <w:unhideWhenUsed/>
    <w:rsid w:val="00135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7E"/>
  </w:style>
  <w:style w:type="paragraph" w:styleId="Footer">
    <w:name w:val="footer"/>
    <w:basedOn w:val="Normal"/>
    <w:link w:val="FooterChar"/>
    <w:uiPriority w:val="99"/>
    <w:unhideWhenUsed/>
    <w:rsid w:val="00135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7E"/>
  </w:style>
  <w:style w:type="character" w:styleId="FollowedHyperlink">
    <w:name w:val="FollowedHyperlink"/>
    <w:basedOn w:val="DefaultParagraphFont"/>
    <w:uiPriority w:val="99"/>
    <w:semiHidden/>
    <w:unhideWhenUsed/>
    <w:rsid w:val="005846F2"/>
    <w:rPr>
      <w:color w:val="954F72" w:themeColor="followedHyperlink"/>
      <w:u w:val="single"/>
    </w:rPr>
  </w:style>
  <w:style w:type="paragraph" w:styleId="NormalWeb">
    <w:name w:val="Normal (Web)"/>
    <w:basedOn w:val="Normal"/>
    <w:uiPriority w:val="99"/>
    <w:semiHidden/>
    <w:unhideWhenUsed/>
    <w:rsid w:val="008B7830"/>
    <w:rPr>
      <w:rFonts w:ascii="Times New Roman" w:hAnsi="Times New Roman" w:cs="Times New Roman"/>
      <w:sz w:val="24"/>
      <w:szCs w:val="24"/>
    </w:rPr>
  </w:style>
  <w:style w:type="paragraph" w:styleId="ListParagraph">
    <w:name w:val="List Paragraph"/>
    <w:basedOn w:val="Normal"/>
    <w:uiPriority w:val="34"/>
    <w:qFormat/>
    <w:rsid w:val="00087C2C"/>
    <w:pPr>
      <w:ind w:left="720"/>
      <w:contextualSpacing/>
    </w:pPr>
  </w:style>
  <w:style w:type="character" w:customStyle="1" w:styleId="UnresolvedMention">
    <w:name w:val="Unresolved Mention"/>
    <w:basedOn w:val="DefaultParagraphFont"/>
    <w:uiPriority w:val="99"/>
    <w:semiHidden/>
    <w:unhideWhenUsed/>
    <w:rsid w:val="0065159B"/>
    <w:rPr>
      <w:color w:val="605E5C"/>
      <w:shd w:val="clear" w:color="auto" w:fill="E1DFDD"/>
    </w:rPr>
  </w:style>
  <w:style w:type="character" w:styleId="CommentReference">
    <w:name w:val="annotation reference"/>
    <w:basedOn w:val="DefaultParagraphFont"/>
    <w:uiPriority w:val="99"/>
    <w:semiHidden/>
    <w:unhideWhenUsed/>
    <w:rsid w:val="00EB4AAD"/>
    <w:rPr>
      <w:sz w:val="16"/>
      <w:szCs w:val="16"/>
    </w:rPr>
  </w:style>
  <w:style w:type="paragraph" w:styleId="CommentText">
    <w:name w:val="annotation text"/>
    <w:basedOn w:val="Normal"/>
    <w:link w:val="CommentTextChar"/>
    <w:uiPriority w:val="99"/>
    <w:semiHidden/>
    <w:unhideWhenUsed/>
    <w:rsid w:val="00EB4AAD"/>
    <w:pPr>
      <w:spacing w:line="240" w:lineRule="auto"/>
    </w:pPr>
    <w:rPr>
      <w:sz w:val="20"/>
      <w:szCs w:val="20"/>
    </w:rPr>
  </w:style>
  <w:style w:type="character" w:customStyle="1" w:styleId="CommentTextChar">
    <w:name w:val="Comment Text Char"/>
    <w:basedOn w:val="DefaultParagraphFont"/>
    <w:link w:val="CommentText"/>
    <w:uiPriority w:val="99"/>
    <w:semiHidden/>
    <w:rsid w:val="00EB4AAD"/>
    <w:rPr>
      <w:sz w:val="20"/>
      <w:szCs w:val="20"/>
    </w:rPr>
  </w:style>
  <w:style w:type="paragraph" w:styleId="CommentSubject">
    <w:name w:val="annotation subject"/>
    <w:basedOn w:val="CommentText"/>
    <w:next w:val="CommentText"/>
    <w:link w:val="CommentSubjectChar"/>
    <w:uiPriority w:val="99"/>
    <w:semiHidden/>
    <w:unhideWhenUsed/>
    <w:rsid w:val="00EB4AAD"/>
    <w:rPr>
      <w:b/>
      <w:bCs/>
    </w:rPr>
  </w:style>
  <w:style w:type="character" w:customStyle="1" w:styleId="CommentSubjectChar">
    <w:name w:val="Comment Subject Char"/>
    <w:basedOn w:val="CommentTextChar"/>
    <w:link w:val="CommentSubject"/>
    <w:uiPriority w:val="99"/>
    <w:semiHidden/>
    <w:rsid w:val="00EB4AAD"/>
    <w:rPr>
      <w:b/>
      <w:bCs/>
      <w:sz w:val="20"/>
      <w:szCs w:val="20"/>
    </w:rPr>
  </w:style>
  <w:style w:type="paragraph" w:styleId="BalloonText">
    <w:name w:val="Balloon Text"/>
    <w:basedOn w:val="Normal"/>
    <w:link w:val="BalloonTextChar"/>
    <w:uiPriority w:val="99"/>
    <w:semiHidden/>
    <w:unhideWhenUsed/>
    <w:rsid w:val="00EB4A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A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4091">
      <w:bodyDiv w:val="1"/>
      <w:marLeft w:val="0"/>
      <w:marRight w:val="0"/>
      <w:marTop w:val="0"/>
      <w:marBottom w:val="0"/>
      <w:divBdr>
        <w:top w:val="none" w:sz="0" w:space="0" w:color="auto"/>
        <w:left w:val="none" w:sz="0" w:space="0" w:color="auto"/>
        <w:bottom w:val="none" w:sz="0" w:space="0" w:color="auto"/>
        <w:right w:val="none" w:sz="0" w:space="0" w:color="auto"/>
      </w:divBdr>
    </w:div>
    <w:div w:id="1251043547">
      <w:bodyDiv w:val="1"/>
      <w:marLeft w:val="0"/>
      <w:marRight w:val="0"/>
      <w:marTop w:val="0"/>
      <w:marBottom w:val="0"/>
      <w:divBdr>
        <w:top w:val="none" w:sz="0" w:space="0" w:color="auto"/>
        <w:left w:val="none" w:sz="0" w:space="0" w:color="auto"/>
        <w:bottom w:val="none" w:sz="0" w:space="0" w:color="auto"/>
        <w:right w:val="none" w:sz="0" w:space="0" w:color="auto"/>
      </w:divBdr>
    </w:div>
    <w:div w:id="18593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thodist.org.uk/MandR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ns.gov.uk/peoplepopulationandcommunity/birthsdeathsandmarriages/families/bulletins/familiesandhouseholds/2017" TargetMode="External"/><Relationship Id="rId1" Type="http://schemas.openxmlformats.org/officeDocument/2006/relationships/hyperlink" Target="http://www.ons.gov.uk/peoplepopulationandcommunity/culturalidentity/sexuality/bulletins/sexualidentityuk/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Howcroft</dc:creator>
  <cp:keywords/>
  <dc:description/>
  <cp:lastModifiedBy>David Webster</cp:lastModifiedBy>
  <cp:revision>4</cp:revision>
  <dcterms:created xsi:type="dcterms:W3CDTF">2019-05-09T17:20:00Z</dcterms:created>
  <dcterms:modified xsi:type="dcterms:W3CDTF">2019-05-14T08:25:00Z</dcterms:modified>
</cp:coreProperties>
</file>