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F46B1" w14:textId="77777777" w:rsidR="00B80E94" w:rsidRDefault="00B80E94" w:rsidP="0003655D">
      <w:pPr>
        <w:tabs>
          <w:tab w:val="left" w:pos="426"/>
          <w:tab w:val="left" w:pos="1418"/>
        </w:tabs>
        <w:ind w:left="1418" w:right="-22" w:hanging="1418"/>
        <w:rPr>
          <w:b/>
          <w:color w:val="000000" w:themeColor="text1"/>
          <w:sz w:val="24"/>
          <w:szCs w:val="24"/>
        </w:rPr>
      </w:pPr>
    </w:p>
    <w:p w14:paraId="19C640C9" w14:textId="77777777" w:rsidR="00B80E94" w:rsidRDefault="00B80E94" w:rsidP="0003655D">
      <w:pPr>
        <w:tabs>
          <w:tab w:val="left" w:pos="426"/>
          <w:tab w:val="left" w:pos="1418"/>
        </w:tabs>
        <w:ind w:left="1418" w:right="-22" w:hanging="1418"/>
        <w:rPr>
          <w:b/>
          <w:color w:val="000000" w:themeColor="text1"/>
          <w:sz w:val="24"/>
          <w:szCs w:val="24"/>
        </w:rPr>
      </w:pPr>
    </w:p>
    <w:p w14:paraId="73344A5F" w14:textId="30623477" w:rsidR="0000626B" w:rsidRDefault="0000626B" w:rsidP="00B80E94">
      <w:pPr>
        <w:tabs>
          <w:tab w:val="left" w:pos="426"/>
        </w:tabs>
        <w:ind w:left="6" w:right="-22"/>
        <w:rPr>
          <w:i/>
          <w:color w:val="000000" w:themeColor="text1"/>
          <w:sz w:val="24"/>
          <w:szCs w:val="24"/>
        </w:rPr>
      </w:pPr>
      <w:r w:rsidRPr="0000626B">
        <w:rPr>
          <w:i/>
          <w:color w:val="000000" w:themeColor="text1"/>
          <w:sz w:val="24"/>
          <w:szCs w:val="24"/>
        </w:rPr>
        <w:t xml:space="preserve">This is one of a number of Ancillary Papers relating to the report of the Marriage and Relationships Task Group that </w:t>
      </w:r>
      <w:proofErr w:type="gramStart"/>
      <w:r w:rsidRPr="0000626B">
        <w:rPr>
          <w:i/>
          <w:color w:val="000000" w:themeColor="text1"/>
          <w:sz w:val="24"/>
          <w:szCs w:val="24"/>
        </w:rPr>
        <w:t>is being presented</w:t>
      </w:r>
      <w:proofErr w:type="gramEnd"/>
      <w:r w:rsidRPr="0000626B">
        <w:rPr>
          <w:i/>
          <w:color w:val="000000" w:themeColor="text1"/>
          <w:sz w:val="24"/>
          <w:szCs w:val="24"/>
        </w:rPr>
        <w:t xml:space="preserve"> to the Methodist Conference in 2019. The report itself, entitled God in love unites us can be found and downloaded from </w:t>
      </w:r>
      <w:hyperlink r:id="rId8" w:history="1">
        <w:r w:rsidRPr="001542C1">
          <w:rPr>
            <w:rStyle w:val="Hyperlink"/>
            <w:i/>
            <w:sz w:val="24"/>
            <w:szCs w:val="24"/>
          </w:rPr>
          <w:t>www.methodist.org.uk/M</w:t>
        </w:r>
        <w:bookmarkStart w:id="0" w:name="_GoBack"/>
        <w:bookmarkEnd w:id="0"/>
        <w:r w:rsidRPr="001542C1">
          <w:rPr>
            <w:rStyle w:val="Hyperlink"/>
            <w:i/>
            <w:sz w:val="24"/>
            <w:szCs w:val="24"/>
          </w:rPr>
          <w:t>a</w:t>
        </w:r>
        <w:r w:rsidRPr="001542C1">
          <w:rPr>
            <w:rStyle w:val="Hyperlink"/>
            <w:i/>
            <w:sz w:val="24"/>
            <w:szCs w:val="24"/>
          </w:rPr>
          <w:t>ndR19</w:t>
        </w:r>
      </w:hyperlink>
    </w:p>
    <w:p w14:paraId="7EC5E997" w14:textId="5C38341E" w:rsidR="00B80E94" w:rsidRDefault="00B80E94" w:rsidP="00B80E94">
      <w:pPr>
        <w:tabs>
          <w:tab w:val="left" w:pos="426"/>
        </w:tabs>
        <w:ind w:left="6" w:right="-22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The report does not depend on these papers. They have not been presented to the Conference or approved by any formal body in the Methodist Church. They </w:t>
      </w:r>
      <w:proofErr w:type="gramStart"/>
      <w:r>
        <w:rPr>
          <w:i/>
          <w:color w:val="000000" w:themeColor="text1"/>
          <w:sz w:val="24"/>
          <w:szCs w:val="24"/>
        </w:rPr>
        <w:t>have been written</w:t>
      </w:r>
      <w:proofErr w:type="gramEnd"/>
      <w:r>
        <w:rPr>
          <w:i/>
          <w:color w:val="000000" w:themeColor="text1"/>
          <w:sz w:val="24"/>
          <w:szCs w:val="24"/>
        </w:rPr>
        <w:t xml:space="preserve"> as background papers or to help the Task Group think through some particular issues as it sought to come to a mind and develop its views in writing its report. They are not necessarily the considered view of the whole of the Task Group, but </w:t>
      </w:r>
      <w:proofErr w:type="gramStart"/>
      <w:r>
        <w:rPr>
          <w:i/>
          <w:color w:val="000000" w:themeColor="text1"/>
          <w:sz w:val="24"/>
          <w:szCs w:val="24"/>
        </w:rPr>
        <w:t>are offered</w:t>
      </w:r>
      <w:proofErr w:type="gramEnd"/>
      <w:r>
        <w:rPr>
          <w:i/>
          <w:color w:val="000000" w:themeColor="text1"/>
          <w:sz w:val="24"/>
          <w:szCs w:val="24"/>
        </w:rPr>
        <w:t xml:space="preserve"> here in the hope that some may find them stimulating, challenging or illuminating. </w:t>
      </w:r>
    </w:p>
    <w:p w14:paraId="2B988471" w14:textId="77777777" w:rsidR="00B80E94" w:rsidRDefault="00B80E94" w:rsidP="0003655D">
      <w:pPr>
        <w:tabs>
          <w:tab w:val="left" w:pos="426"/>
          <w:tab w:val="left" w:pos="1418"/>
        </w:tabs>
        <w:ind w:left="1418" w:right="-22" w:hanging="1418"/>
        <w:rPr>
          <w:b/>
          <w:color w:val="000000" w:themeColor="text1"/>
          <w:sz w:val="24"/>
          <w:szCs w:val="24"/>
        </w:rPr>
      </w:pPr>
    </w:p>
    <w:p w14:paraId="2DC52C74" w14:textId="77777777" w:rsidR="00B80E94" w:rsidRDefault="00B80E94" w:rsidP="0003655D">
      <w:pPr>
        <w:tabs>
          <w:tab w:val="left" w:pos="426"/>
          <w:tab w:val="left" w:pos="1418"/>
        </w:tabs>
        <w:ind w:left="1418" w:right="-22" w:hanging="1418"/>
        <w:rPr>
          <w:b/>
          <w:color w:val="000000" w:themeColor="text1"/>
          <w:sz w:val="24"/>
          <w:szCs w:val="24"/>
        </w:rPr>
      </w:pPr>
    </w:p>
    <w:p w14:paraId="4660F3AF" w14:textId="46777B9C" w:rsidR="00B80E94" w:rsidRPr="001E49D5" w:rsidRDefault="00210F97" w:rsidP="001E49D5">
      <w:pPr>
        <w:tabs>
          <w:tab w:val="left" w:pos="426"/>
          <w:tab w:val="left" w:pos="1418"/>
        </w:tabs>
        <w:ind w:left="1418" w:right="-22" w:hanging="1418"/>
        <w:jc w:val="center"/>
        <w:rPr>
          <w:b/>
          <w:color w:val="000000" w:themeColor="text1"/>
          <w:sz w:val="24"/>
          <w:szCs w:val="24"/>
        </w:rPr>
      </w:pPr>
      <w:r w:rsidRPr="001E49D5">
        <w:rPr>
          <w:b/>
          <w:color w:val="000000" w:themeColor="text1"/>
          <w:sz w:val="24"/>
          <w:szCs w:val="24"/>
        </w:rPr>
        <w:t xml:space="preserve">ANCILLARY PAPER </w:t>
      </w:r>
      <w:r w:rsidR="00AD04FD">
        <w:rPr>
          <w:b/>
          <w:color w:val="000000" w:themeColor="text1"/>
          <w:sz w:val="24"/>
          <w:szCs w:val="24"/>
        </w:rPr>
        <w:t>F</w:t>
      </w:r>
    </w:p>
    <w:p w14:paraId="495AFD74" w14:textId="53398724" w:rsidR="005F4939" w:rsidRPr="005F4939" w:rsidRDefault="00AD04FD" w:rsidP="00AD04FD">
      <w:pPr>
        <w:tabs>
          <w:tab w:val="left" w:pos="426"/>
        </w:tabs>
        <w:ind w:left="426" w:right="-22" w:hanging="426"/>
        <w:jc w:val="center"/>
        <w:rPr>
          <w:b/>
          <w:color w:val="000000" w:themeColor="text1"/>
          <w:sz w:val="24"/>
          <w:szCs w:val="24"/>
        </w:rPr>
      </w:pPr>
      <w:r w:rsidRPr="005F4939">
        <w:rPr>
          <w:b/>
          <w:color w:val="000000" w:themeColor="text1"/>
          <w:sz w:val="24"/>
          <w:szCs w:val="24"/>
        </w:rPr>
        <w:t>SELECTED BIBLIOGRAPHY</w:t>
      </w:r>
    </w:p>
    <w:p w14:paraId="2F78D271" w14:textId="77777777" w:rsidR="00AD04FD" w:rsidRDefault="00AD04FD" w:rsidP="005F4939">
      <w:pPr>
        <w:tabs>
          <w:tab w:val="left" w:pos="426"/>
        </w:tabs>
        <w:ind w:left="426" w:right="-22" w:hanging="426"/>
        <w:rPr>
          <w:i/>
          <w:color w:val="000000" w:themeColor="text1"/>
          <w:sz w:val="24"/>
          <w:szCs w:val="24"/>
        </w:rPr>
      </w:pPr>
    </w:p>
    <w:p w14:paraId="42BA26EE" w14:textId="6102475E" w:rsidR="005F4939" w:rsidRPr="005F4939" w:rsidRDefault="005F4939" w:rsidP="00A60020">
      <w:pPr>
        <w:tabs>
          <w:tab w:val="left" w:pos="0"/>
        </w:tabs>
        <w:ind w:right="-22"/>
        <w:rPr>
          <w:i/>
          <w:color w:val="000000" w:themeColor="text1"/>
          <w:sz w:val="24"/>
          <w:szCs w:val="24"/>
        </w:rPr>
      </w:pPr>
      <w:r w:rsidRPr="005F4939">
        <w:rPr>
          <w:i/>
          <w:color w:val="000000" w:themeColor="text1"/>
          <w:sz w:val="24"/>
          <w:szCs w:val="24"/>
        </w:rPr>
        <w:t xml:space="preserve">Listed below is some of the material that members of the Task Group have found helpful during their deliberations. Some of these items are directly cited in the report; others are not. This </w:t>
      </w:r>
      <w:proofErr w:type="gramStart"/>
      <w:r w:rsidRPr="005F4939">
        <w:rPr>
          <w:i/>
          <w:color w:val="000000" w:themeColor="text1"/>
          <w:sz w:val="24"/>
          <w:szCs w:val="24"/>
        </w:rPr>
        <w:t>is not intended</w:t>
      </w:r>
      <w:proofErr w:type="gramEnd"/>
      <w:r w:rsidRPr="005F4939">
        <w:rPr>
          <w:i/>
          <w:color w:val="000000" w:themeColor="text1"/>
          <w:sz w:val="24"/>
          <w:szCs w:val="24"/>
        </w:rPr>
        <w:t xml:space="preserve"> to be an exhaustive list of the huge amount of material available related to marriage and relationships, but may provide interested readers with some starting points.</w:t>
      </w:r>
    </w:p>
    <w:p w14:paraId="7A743F7D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b/>
          <w:iCs/>
          <w:color w:val="000000" w:themeColor="text1"/>
          <w:sz w:val="24"/>
          <w:szCs w:val="24"/>
        </w:rPr>
      </w:pPr>
      <w:r w:rsidRPr="005F4939">
        <w:rPr>
          <w:b/>
          <w:iCs/>
          <w:color w:val="000000" w:themeColor="text1"/>
          <w:sz w:val="24"/>
          <w:szCs w:val="24"/>
        </w:rPr>
        <w:t>Books and articles</w:t>
      </w:r>
    </w:p>
    <w:p w14:paraId="58B4A61B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Althaus-Reid, Marcella (ed) </w:t>
      </w:r>
      <w:r w:rsidRPr="005F4939">
        <w:rPr>
          <w:i/>
          <w:color w:val="000000" w:themeColor="text1"/>
          <w:sz w:val="24"/>
          <w:szCs w:val="24"/>
        </w:rPr>
        <w:t>Liberation Theology and Sexuality</w:t>
      </w:r>
      <w:r w:rsidRPr="005F4939">
        <w:rPr>
          <w:color w:val="000000" w:themeColor="text1"/>
          <w:sz w:val="24"/>
          <w:szCs w:val="24"/>
        </w:rPr>
        <w:t xml:space="preserve"> (Aldershot, Ashgate, 2006)</w:t>
      </w:r>
    </w:p>
    <w:p w14:paraId="255531DA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Althaus-Reid, Marcella and Isherwood, Lisa (ed), </w:t>
      </w:r>
      <w:r w:rsidRPr="005F4939">
        <w:rPr>
          <w:i/>
          <w:color w:val="000000" w:themeColor="text1"/>
          <w:sz w:val="24"/>
          <w:szCs w:val="24"/>
        </w:rPr>
        <w:t>Trans/Formations</w:t>
      </w:r>
      <w:r w:rsidRPr="005F4939">
        <w:rPr>
          <w:color w:val="000000" w:themeColor="text1"/>
          <w:sz w:val="24"/>
          <w:szCs w:val="24"/>
        </w:rPr>
        <w:t xml:space="preserve"> (London, SCM, 2009)</w:t>
      </w:r>
    </w:p>
    <w:p w14:paraId="50663C14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Anderson, Ray S, </w:t>
      </w:r>
      <w:r w:rsidRPr="005F4939">
        <w:rPr>
          <w:i/>
          <w:color w:val="000000" w:themeColor="text1"/>
          <w:sz w:val="24"/>
          <w:szCs w:val="24"/>
        </w:rPr>
        <w:t>On Being Human: Essays in Theological Anthropology</w:t>
      </w:r>
      <w:r w:rsidRPr="005F4939">
        <w:rPr>
          <w:color w:val="000000" w:themeColor="text1"/>
          <w:sz w:val="24"/>
          <w:szCs w:val="24"/>
        </w:rPr>
        <w:t xml:space="preserve"> (Eugene, Wipf and Stock, 1991)</w:t>
      </w:r>
    </w:p>
    <w:p w14:paraId="7D1BBAD5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Beardsley, Christina and O’Brien, Michelle, </w:t>
      </w:r>
      <w:r w:rsidRPr="005F4939">
        <w:rPr>
          <w:i/>
          <w:color w:val="000000" w:themeColor="text1"/>
          <w:sz w:val="24"/>
          <w:szCs w:val="24"/>
        </w:rPr>
        <w:t>This is my body</w:t>
      </w:r>
      <w:r w:rsidRPr="005F4939">
        <w:rPr>
          <w:color w:val="000000" w:themeColor="text1"/>
          <w:sz w:val="24"/>
          <w:szCs w:val="24"/>
        </w:rPr>
        <w:t xml:space="preserve"> (London, </w:t>
      </w:r>
      <w:proofErr w:type="spellStart"/>
      <w:r w:rsidRPr="005F4939">
        <w:rPr>
          <w:color w:val="000000" w:themeColor="text1"/>
          <w:sz w:val="24"/>
          <w:szCs w:val="24"/>
        </w:rPr>
        <w:t>Darton</w:t>
      </w:r>
      <w:proofErr w:type="spellEnd"/>
      <w:r w:rsidRPr="005F4939">
        <w:rPr>
          <w:color w:val="000000" w:themeColor="text1"/>
          <w:sz w:val="24"/>
          <w:szCs w:val="24"/>
        </w:rPr>
        <w:t>, Longman and Todd, 2016)</w:t>
      </w:r>
    </w:p>
    <w:p w14:paraId="2BDB68FA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Brownson, James V, </w:t>
      </w:r>
      <w:r w:rsidRPr="005F4939">
        <w:rPr>
          <w:i/>
          <w:color w:val="000000" w:themeColor="text1"/>
          <w:sz w:val="24"/>
          <w:szCs w:val="24"/>
        </w:rPr>
        <w:t>Bible, Gender, Sexuality</w:t>
      </w:r>
      <w:r w:rsidRPr="005F4939">
        <w:rPr>
          <w:color w:val="000000" w:themeColor="text1"/>
          <w:sz w:val="24"/>
          <w:szCs w:val="24"/>
        </w:rPr>
        <w:t xml:space="preserve"> (Cambridge, Eerdmans, 2013)</w:t>
      </w:r>
    </w:p>
    <w:p w14:paraId="1B57125E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Cheng, Patrick S, </w:t>
      </w:r>
      <w:r w:rsidRPr="005F4939">
        <w:rPr>
          <w:i/>
          <w:color w:val="000000" w:themeColor="text1"/>
          <w:sz w:val="24"/>
          <w:szCs w:val="24"/>
        </w:rPr>
        <w:t>From Sin to Amazing Grace – Discovering the Queer Christ</w:t>
      </w:r>
      <w:r w:rsidRPr="005F4939">
        <w:rPr>
          <w:color w:val="000000" w:themeColor="text1"/>
          <w:sz w:val="24"/>
          <w:szCs w:val="24"/>
        </w:rPr>
        <w:t xml:space="preserve"> (New York, Seabury Books, 2012)</w:t>
      </w:r>
    </w:p>
    <w:p w14:paraId="766867ED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Coontz, Stephanie, </w:t>
      </w:r>
      <w:r w:rsidRPr="005F4939">
        <w:rPr>
          <w:i/>
          <w:color w:val="000000" w:themeColor="text1"/>
          <w:sz w:val="24"/>
          <w:szCs w:val="24"/>
        </w:rPr>
        <w:t>Marriage, a History: How Love Conquered Marriage</w:t>
      </w:r>
      <w:r w:rsidRPr="005F4939">
        <w:rPr>
          <w:color w:val="000000" w:themeColor="text1"/>
          <w:sz w:val="24"/>
          <w:szCs w:val="24"/>
        </w:rPr>
        <w:t xml:space="preserve"> (London, Penguin, 2006)</w:t>
      </w:r>
    </w:p>
    <w:p w14:paraId="1E67EFC0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Cornwall, Susannah, </w:t>
      </w:r>
      <w:r w:rsidRPr="005F4939">
        <w:rPr>
          <w:i/>
          <w:color w:val="000000" w:themeColor="text1"/>
          <w:sz w:val="24"/>
          <w:szCs w:val="24"/>
        </w:rPr>
        <w:t>Sexuality: The Inclusive Church Resource</w:t>
      </w:r>
      <w:r w:rsidRPr="005F4939">
        <w:rPr>
          <w:color w:val="000000" w:themeColor="text1"/>
          <w:sz w:val="24"/>
          <w:szCs w:val="24"/>
        </w:rPr>
        <w:t xml:space="preserve"> (London, </w:t>
      </w:r>
      <w:proofErr w:type="spellStart"/>
      <w:r w:rsidRPr="005F4939">
        <w:rPr>
          <w:color w:val="000000" w:themeColor="text1"/>
          <w:sz w:val="24"/>
          <w:szCs w:val="24"/>
        </w:rPr>
        <w:t>Darton</w:t>
      </w:r>
      <w:proofErr w:type="spellEnd"/>
      <w:r w:rsidRPr="005F4939">
        <w:rPr>
          <w:color w:val="000000" w:themeColor="text1"/>
          <w:sz w:val="24"/>
          <w:szCs w:val="24"/>
        </w:rPr>
        <w:t>, Longman and Todd, 2014)</w:t>
      </w:r>
    </w:p>
    <w:p w14:paraId="14656DF2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Cornwall, Susannah, </w:t>
      </w:r>
      <w:r w:rsidRPr="005F4939">
        <w:rPr>
          <w:i/>
          <w:color w:val="000000" w:themeColor="text1"/>
          <w:sz w:val="24"/>
          <w:szCs w:val="24"/>
        </w:rPr>
        <w:t>Theology and Sexuality</w:t>
      </w:r>
      <w:r w:rsidRPr="005F4939">
        <w:rPr>
          <w:color w:val="000000" w:themeColor="text1"/>
          <w:sz w:val="24"/>
          <w:szCs w:val="24"/>
        </w:rPr>
        <w:t xml:space="preserve"> (London, SCM, 2013)</w:t>
      </w:r>
    </w:p>
    <w:p w14:paraId="1237A48C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lastRenderedPageBreak/>
        <w:t xml:space="preserve">Cornwall, Susannah, </w:t>
      </w:r>
      <w:r w:rsidRPr="005F4939">
        <w:rPr>
          <w:i/>
          <w:color w:val="000000" w:themeColor="text1"/>
          <w:sz w:val="24"/>
          <w:szCs w:val="24"/>
        </w:rPr>
        <w:t>Un/familiar Theology – Reconceiving Sex, Reproduction and Generativity</w:t>
      </w:r>
      <w:r w:rsidRPr="005F4939">
        <w:rPr>
          <w:color w:val="000000" w:themeColor="text1"/>
          <w:sz w:val="24"/>
          <w:szCs w:val="24"/>
        </w:rPr>
        <w:t xml:space="preserve"> (London, Bloomsbury T&amp;T Clark, 2017)</w:t>
      </w:r>
    </w:p>
    <w:p w14:paraId="7BB05B35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Davis, Ellen F, </w:t>
      </w:r>
      <w:r w:rsidRPr="005F4939">
        <w:rPr>
          <w:i/>
          <w:color w:val="000000" w:themeColor="text1"/>
          <w:sz w:val="24"/>
          <w:szCs w:val="24"/>
        </w:rPr>
        <w:t>Getting Involved with God – Rediscovering the Old Testament</w:t>
      </w:r>
      <w:r w:rsidRPr="005F4939">
        <w:rPr>
          <w:color w:val="000000" w:themeColor="text1"/>
          <w:sz w:val="24"/>
          <w:szCs w:val="24"/>
        </w:rPr>
        <w:t xml:space="preserve"> (Plymouth UK, </w:t>
      </w:r>
      <w:proofErr w:type="spellStart"/>
      <w:r w:rsidRPr="005F4939">
        <w:rPr>
          <w:color w:val="000000" w:themeColor="text1"/>
          <w:sz w:val="24"/>
          <w:szCs w:val="24"/>
        </w:rPr>
        <w:t>Cowley</w:t>
      </w:r>
      <w:proofErr w:type="spellEnd"/>
      <w:r w:rsidRPr="005F4939">
        <w:rPr>
          <w:color w:val="000000" w:themeColor="text1"/>
          <w:sz w:val="24"/>
          <w:szCs w:val="24"/>
        </w:rPr>
        <w:t>, 2001)</w:t>
      </w:r>
    </w:p>
    <w:p w14:paraId="37A803FB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Davison, Andrew, </w:t>
      </w:r>
      <w:r w:rsidRPr="005F4939">
        <w:rPr>
          <w:i/>
          <w:color w:val="000000" w:themeColor="text1"/>
          <w:sz w:val="24"/>
          <w:szCs w:val="24"/>
        </w:rPr>
        <w:t xml:space="preserve">Amazing Love: Theology for understanding Discipleship, Sexuality and Mission </w:t>
      </w:r>
      <w:r w:rsidRPr="005F4939">
        <w:rPr>
          <w:color w:val="000000" w:themeColor="text1"/>
          <w:sz w:val="24"/>
          <w:szCs w:val="24"/>
        </w:rPr>
        <w:t xml:space="preserve">(London, </w:t>
      </w:r>
      <w:proofErr w:type="spellStart"/>
      <w:r w:rsidRPr="005F4939">
        <w:rPr>
          <w:color w:val="000000" w:themeColor="text1"/>
          <w:sz w:val="24"/>
          <w:szCs w:val="24"/>
        </w:rPr>
        <w:t>Darton</w:t>
      </w:r>
      <w:proofErr w:type="spellEnd"/>
      <w:r w:rsidRPr="005F4939">
        <w:rPr>
          <w:color w:val="000000" w:themeColor="text1"/>
          <w:sz w:val="24"/>
          <w:szCs w:val="24"/>
        </w:rPr>
        <w:t>, Longman and Todd, 2016)</w:t>
      </w:r>
    </w:p>
    <w:p w14:paraId="43AD743F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proofErr w:type="spellStart"/>
      <w:r w:rsidRPr="005F4939">
        <w:rPr>
          <w:color w:val="000000" w:themeColor="text1"/>
          <w:sz w:val="24"/>
          <w:szCs w:val="24"/>
        </w:rPr>
        <w:t>Diduck</w:t>
      </w:r>
      <w:proofErr w:type="spellEnd"/>
      <w:r w:rsidRPr="005F4939">
        <w:rPr>
          <w:color w:val="000000" w:themeColor="text1"/>
          <w:sz w:val="24"/>
          <w:szCs w:val="24"/>
        </w:rPr>
        <w:t>, Alison (</w:t>
      </w:r>
      <w:proofErr w:type="spellStart"/>
      <w:r w:rsidRPr="005F4939">
        <w:rPr>
          <w:color w:val="000000" w:themeColor="text1"/>
          <w:sz w:val="24"/>
          <w:szCs w:val="24"/>
        </w:rPr>
        <w:t>ed</w:t>
      </w:r>
      <w:proofErr w:type="spellEnd"/>
      <w:r w:rsidRPr="005F4939">
        <w:rPr>
          <w:color w:val="000000" w:themeColor="text1"/>
          <w:sz w:val="24"/>
          <w:szCs w:val="24"/>
        </w:rPr>
        <w:t xml:space="preserve">), </w:t>
      </w:r>
      <w:r w:rsidRPr="005F4939">
        <w:rPr>
          <w:i/>
          <w:color w:val="000000" w:themeColor="text1"/>
          <w:sz w:val="24"/>
          <w:szCs w:val="24"/>
        </w:rPr>
        <w:t>Marriage and Cohabitation</w:t>
      </w:r>
      <w:r w:rsidRPr="005F4939">
        <w:rPr>
          <w:color w:val="000000" w:themeColor="text1"/>
          <w:sz w:val="24"/>
          <w:szCs w:val="24"/>
        </w:rPr>
        <w:t xml:space="preserve"> (Aldershot, Ashgate Publishing, 2008)</w:t>
      </w:r>
    </w:p>
    <w:p w14:paraId="00CF3333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John, Jeffrey, </w:t>
      </w:r>
      <w:r w:rsidRPr="005F4939">
        <w:rPr>
          <w:i/>
          <w:color w:val="000000" w:themeColor="text1"/>
          <w:sz w:val="24"/>
          <w:szCs w:val="24"/>
        </w:rPr>
        <w:t xml:space="preserve">Permanent, Faithful, Stable: Christian Same-Sex Marriage </w:t>
      </w:r>
      <w:r w:rsidRPr="005F4939">
        <w:rPr>
          <w:color w:val="000000" w:themeColor="text1"/>
          <w:sz w:val="24"/>
          <w:szCs w:val="24"/>
        </w:rPr>
        <w:t>(London, DLT, 2012)</w:t>
      </w:r>
    </w:p>
    <w:p w14:paraId="27EBEC0B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Macfarlane, Alan, </w:t>
      </w:r>
      <w:r w:rsidRPr="005F4939">
        <w:rPr>
          <w:i/>
          <w:color w:val="000000" w:themeColor="text1"/>
          <w:sz w:val="24"/>
          <w:szCs w:val="24"/>
        </w:rPr>
        <w:t>Marriage and Love in England: Modes of Reproduction 1300-1840</w:t>
      </w:r>
      <w:r w:rsidRPr="005F4939">
        <w:rPr>
          <w:color w:val="000000" w:themeColor="text1"/>
          <w:sz w:val="24"/>
          <w:szCs w:val="24"/>
        </w:rPr>
        <w:t xml:space="preserve"> (Oxford, Basil Blackwell, 1986)</w:t>
      </w:r>
    </w:p>
    <w:p w14:paraId="20CB2489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Mann, Rachel, </w:t>
      </w:r>
      <w:r w:rsidRPr="005F4939">
        <w:rPr>
          <w:i/>
          <w:color w:val="000000" w:themeColor="text1"/>
          <w:sz w:val="24"/>
          <w:szCs w:val="24"/>
        </w:rPr>
        <w:t>Dazzling Darkness: Gender, sexuality, illness and God</w:t>
      </w:r>
      <w:r w:rsidRPr="005F4939">
        <w:rPr>
          <w:color w:val="000000" w:themeColor="text1"/>
          <w:sz w:val="24"/>
          <w:szCs w:val="24"/>
        </w:rPr>
        <w:t xml:space="preserve"> (Glasgow, Wild Goose Publications, 2012)</w:t>
      </w:r>
    </w:p>
    <w:p w14:paraId="2C456623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Messer, Neil, </w:t>
      </w:r>
      <w:r w:rsidRPr="005F4939">
        <w:rPr>
          <w:i/>
          <w:color w:val="000000" w:themeColor="text1"/>
          <w:sz w:val="24"/>
          <w:szCs w:val="24"/>
        </w:rPr>
        <w:t>Christian Ethics</w:t>
      </w:r>
      <w:r w:rsidRPr="005F4939">
        <w:rPr>
          <w:color w:val="000000" w:themeColor="text1"/>
          <w:sz w:val="24"/>
          <w:szCs w:val="24"/>
        </w:rPr>
        <w:t xml:space="preserve"> (London, SCM, 2006)</w:t>
      </w:r>
    </w:p>
    <w:p w14:paraId="7D6C1E0C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proofErr w:type="spellStart"/>
      <w:r w:rsidRPr="005F4939">
        <w:rPr>
          <w:color w:val="000000" w:themeColor="text1"/>
          <w:sz w:val="24"/>
          <w:szCs w:val="24"/>
        </w:rPr>
        <w:t>Ozanne</w:t>
      </w:r>
      <w:proofErr w:type="spellEnd"/>
      <w:r w:rsidRPr="005F4939">
        <w:rPr>
          <w:color w:val="000000" w:themeColor="text1"/>
          <w:sz w:val="24"/>
          <w:szCs w:val="24"/>
        </w:rPr>
        <w:t>, Jayne (</w:t>
      </w:r>
      <w:proofErr w:type="spellStart"/>
      <w:r w:rsidRPr="005F4939">
        <w:rPr>
          <w:color w:val="000000" w:themeColor="text1"/>
          <w:sz w:val="24"/>
          <w:szCs w:val="24"/>
        </w:rPr>
        <w:t>ed</w:t>
      </w:r>
      <w:proofErr w:type="spellEnd"/>
      <w:r w:rsidRPr="005F4939">
        <w:rPr>
          <w:color w:val="000000" w:themeColor="text1"/>
          <w:sz w:val="24"/>
          <w:szCs w:val="24"/>
        </w:rPr>
        <w:t xml:space="preserve">) </w:t>
      </w:r>
      <w:r w:rsidRPr="005F4939">
        <w:rPr>
          <w:i/>
          <w:color w:val="000000" w:themeColor="text1"/>
          <w:sz w:val="24"/>
          <w:szCs w:val="24"/>
        </w:rPr>
        <w:t>Journeys in Grace and Truth: revisiting Scripture and Sexuality</w:t>
      </w:r>
      <w:r w:rsidRPr="005F4939">
        <w:rPr>
          <w:color w:val="000000" w:themeColor="text1"/>
          <w:sz w:val="24"/>
          <w:szCs w:val="24"/>
        </w:rPr>
        <w:t xml:space="preserve"> (London, Via Media, 2016)</w:t>
      </w:r>
    </w:p>
    <w:p w14:paraId="37C9A5F0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Potts, Malcolm and Short, Roger, </w:t>
      </w:r>
      <w:r w:rsidRPr="005F4939">
        <w:rPr>
          <w:i/>
          <w:color w:val="000000" w:themeColor="text1"/>
          <w:sz w:val="24"/>
          <w:szCs w:val="24"/>
        </w:rPr>
        <w:t>Ever since Adam and Eve: The evolution of human sexuality</w:t>
      </w:r>
      <w:r w:rsidRPr="005F4939">
        <w:rPr>
          <w:color w:val="000000" w:themeColor="text1"/>
          <w:sz w:val="24"/>
          <w:szCs w:val="24"/>
        </w:rPr>
        <w:t xml:space="preserve"> (Cambridge, Cambridge University Press, 1999)</w:t>
      </w:r>
    </w:p>
    <w:p w14:paraId="4DEFB5E3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Rogers, Eugene F, ‘A theology of marriage: Same-sex complementarity’ in </w:t>
      </w:r>
      <w:r w:rsidRPr="005F4939">
        <w:rPr>
          <w:i/>
          <w:color w:val="000000" w:themeColor="text1"/>
          <w:sz w:val="24"/>
          <w:szCs w:val="24"/>
        </w:rPr>
        <w:t>Christian Century</w:t>
      </w:r>
      <w:r w:rsidRPr="005F4939">
        <w:rPr>
          <w:color w:val="000000" w:themeColor="text1"/>
          <w:sz w:val="24"/>
          <w:szCs w:val="24"/>
        </w:rPr>
        <w:t xml:space="preserve"> (May, 2011), pp. 26-31</w:t>
      </w:r>
    </w:p>
    <w:p w14:paraId="0021AD2B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Rogers, Jack, </w:t>
      </w:r>
      <w:r w:rsidRPr="005F4939">
        <w:rPr>
          <w:i/>
          <w:color w:val="000000" w:themeColor="text1"/>
          <w:sz w:val="24"/>
          <w:szCs w:val="24"/>
        </w:rPr>
        <w:t>Jesus, The Bible and Homosexuality</w:t>
      </w:r>
      <w:r w:rsidRPr="005F4939">
        <w:rPr>
          <w:color w:val="000000" w:themeColor="text1"/>
          <w:sz w:val="24"/>
          <w:szCs w:val="24"/>
        </w:rPr>
        <w:t xml:space="preserve"> (Louisville, WJK, 2006)</w:t>
      </w:r>
    </w:p>
    <w:p w14:paraId="26FD0D16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Song, Robert, </w:t>
      </w:r>
      <w:r w:rsidRPr="005F4939">
        <w:rPr>
          <w:i/>
          <w:color w:val="000000" w:themeColor="text1"/>
          <w:sz w:val="24"/>
          <w:szCs w:val="24"/>
        </w:rPr>
        <w:t>Covenant and Calling: Towards a theology of same-sex relationships</w:t>
      </w:r>
      <w:r w:rsidRPr="005F4939">
        <w:rPr>
          <w:color w:val="000000" w:themeColor="text1"/>
          <w:sz w:val="24"/>
          <w:szCs w:val="24"/>
        </w:rPr>
        <w:t xml:space="preserve"> (London, SCM, 2014)</w:t>
      </w:r>
    </w:p>
    <w:p w14:paraId="54EBBCE4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Starr, Rachel, </w:t>
      </w:r>
      <w:r w:rsidRPr="005F4939">
        <w:rPr>
          <w:i/>
          <w:color w:val="000000" w:themeColor="text1"/>
          <w:sz w:val="24"/>
          <w:szCs w:val="24"/>
        </w:rPr>
        <w:t xml:space="preserve">Reimagining Theologies of Marriage in contexts of Domestic Violence: When Salvation is Survival </w:t>
      </w:r>
      <w:r w:rsidRPr="005F4939">
        <w:rPr>
          <w:color w:val="000000" w:themeColor="text1"/>
          <w:sz w:val="24"/>
          <w:szCs w:val="24"/>
        </w:rPr>
        <w:t>(Abingdon, Routledge, 2018)</w:t>
      </w:r>
    </w:p>
    <w:p w14:paraId="72BA4C05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Taylor, Jeremy, </w:t>
      </w:r>
      <w:r w:rsidRPr="005F4939">
        <w:rPr>
          <w:i/>
          <w:color w:val="000000" w:themeColor="text1"/>
          <w:sz w:val="24"/>
          <w:szCs w:val="24"/>
        </w:rPr>
        <w:t>The Rule and Exercise of Holy Living</w:t>
      </w:r>
      <w:r w:rsidRPr="005F4939">
        <w:rPr>
          <w:color w:val="000000" w:themeColor="text1"/>
          <w:sz w:val="24"/>
          <w:szCs w:val="24"/>
        </w:rPr>
        <w:t xml:space="preserve"> (Oxford, John Henry &amp; James Parker, 1860)</w:t>
      </w:r>
    </w:p>
    <w:p w14:paraId="700349CF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Thatcher, Adrian, </w:t>
      </w:r>
      <w:r w:rsidRPr="005F4939">
        <w:rPr>
          <w:i/>
          <w:color w:val="000000" w:themeColor="text1"/>
          <w:sz w:val="24"/>
          <w:szCs w:val="24"/>
        </w:rPr>
        <w:t>Marriage after Modernity: Christian Marriage in Postmodern Times</w:t>
      </w:r>
      <w:r w:rsidRPr="005F4939">
        <w:rPr>
          <w:color w:val="000000" w:themeColor="text1"/>
          <w:sz w:val="24"/>
          <w:szCs w:val="24"/>
        </w:rPr>
        <w:t xml:space="preserve"> (Sheffield, Sheffield Academic Press, 1999)</w:t>
      </w:r>
    </w:p>
    <w:p w14:paraId="49337CEA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Thatcher, Adrian (ed), </w:t>
      </w:r>
      <w:r w:rsidRPr="005F4939">
        <w:rPr>
          <w:i/>
          <w:color w:val="000000" w:themeColor="text1"/>
          <w:sz w:val="24"/>
          <w:szCs w:val="24"/>
        </w:rPr>
        <w:t>The Oxford Handbook of Theology, Sexuality, and Gender</w:t>
      </w:r>
      <w:r w:rsidRPr="005F4939">
        <w:rPr>
          <w:color w:val="000000" w:themeColor="text1"/>
          <w:sz w:val="24"/>
          <w:szCs w:val="24"/>
        </w:rPr>
        <w:t xml:space="preserve"> (Oxford, Oxford University Press, 2015)</w:t>
      </w:r>
    </w:p>
    <w:p w14:paraId="574BFA71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Thatcher, Adrian and Stuart, Elizabeth (eds) </w:t>
      </w:r>
      <w:r w:rsidRPr="005F4939">
        <w:rPr>
          <w:i/>
          <w:color w:val="000000" w:themeColor="text1"/>
          <w:sz w:val="24"/>
          <w:szCs w:val="24"/>
        </w:rPr>
        <w:t>Christian Perspectives on Sexuality and Gender</w:t>
      </w:r>
      <w:r w:rsidRPr="005F4939">
        <w:rPr>
          <w:color w:val="000000" w:themeColor="text1"/>
          <w:sz w:val="24"/>
          <w:szCs w:val="24"/>
        </w:rPr>
        <w:t xml:space="preserve"> (Leominster, </w:t>
      </w:r>
      <w:proofErr w:type="spellStart"/>
      <w:r w:rsidRPr="005F4939">
        <w:rPr>
          <w:color w:val="000000" w:themeColor="text1"/>
          <w:sz w:val="24"/>
          <w:szCs w:val="24"/>
        </w:rPr>
        <w:t>Gracewing</w:t>
      </w:r>
      <w:proofErr w:type="spellEnd"/>
      <w:r w:rsidRPr="005F4939">
        <w:rPr>
          <w:color w:val="000000" w:themeColor="text1"/>
          <w:sz w:val="24"/>
          <w:szCs w:val="24"/>
        </w:rPr>
        <w:t xml:space="preserve"> Fowler Wright Books, 1996)</w:t>
      </w:r>
    </w:p>
    <w:p w14:paraId="18D3AE4D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Thatcher, Adrian, </w:t>
      </w:r>
      <w:r w:rsidRPr="005F4939">
        <w:rPr>
          <w:i/>
          <w:color w:val="000000" w:themeColor="text1"/>
          <w:sz w:val="24"/>
          <w:szCs w:val="24"/>
        </w:rPr>
        <w:t>Liberating Sex: A Christian Sexual Theology</w:t>
      </w:r>
      <w:r w:rsidRPr="005F4939">
        <w:rPr>
          <w:color w:val="000000" w:themeColor="text1"/>
          <w:sz w:val="24"/>
          <w:szCs w:val="24"/>
        </w:rPr>
        <w:t xml:space="preserve"> (London, SPCK, 1993)</w:t>
      </w:r>
    </w:p>
    <w:p w14:paraId="22AC9F93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color w:val="000000" w:themeColor="text1"/>
          <w:sz w:val="24"/>
          <w:szCs w:val="24"/>
        </w:rPr>
        <w:t xml:space="preserve">Wink, Walter (ed), </w:t>
      </w:r>
      <w:r w:rsidRPr="005F4939">
        <w:rPr>
          <w:i/>
          <w:color w:val="000000" w:themeColor="text1"/>
          <w:sz w:val="24"/>
          <w:szCs w:val="24"/>
        </w:rPr>
        <w:t xml:space="preserve">Homosexuality and Christian Faith: Questions of Conscience for the Churches </w:t>
      </w:r>
      <w:r w:rsidRPr="005F4939">
        <w:rPr>
          <w:color w:val="000000" w:themeColor="text1"/>
          <w:sz w:val="24"/>
          <w:szCs w:val="24"/>
        </w:rPr>
        <w:t>(Minneapolis, Fortress Press, 1999)</w:t>
      </w:r>
    </w:p>
    <w:p w14:paraId="53728692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</w:p>
    <w:p w14:paraId="6BA16368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b/>
          <w:iCs/>
          <w:color w:val="000000" w:themeColor="text1"/>
          <w:sz w:val="24"/>
          <w:szCs w:val="24"/>
        </w:rPr>
      </w:pPr>
      <w:r w:rsidRPr="005F4939">
        <w:rPr>
          <w:b/>
          <w:iCs/>
          <w:color w:val="000000" w:themeColor="text1"/>
          <w:sz w:val="24"/>
          <w:szCs w:val="24"/>
        </w:rPr>
        <w:t>Other material</w:t>
      </w:r>
    </w:p>
    <w:p w14:paraId="296F7ADA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i/>
          <w:color w:val="000000" w:themeColor="text1"/>
          <w:sz w:val="24"/>
          <w:szCs w:val="24"/>
        </w:rPr>
        <w:t>Marriage: A United Church of Canada Understanding</w:t>
      </w:r>
      <w:r w:rsidRPr="005F4939">
        <w:rPr>
          <w:color w:val="000000" w:themeColor="text1"/>
          <w:sz w:val="24"/>
          <w:szCs w:val="24"/>
        </w:rPr>
        <w:t>, The United Church of Canada (2005)</w:t>
      </w:r>
    </w:p>
    <w:p w14:paraId="34C8D097" w14:textId="77777777" w:rsidR="005F4939" w:rsidRPr="005F4939" w:rsidRDefault="005F4939" w:rsidP="005F4939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  <w:r w:rsidRPr="005F4939">
        <w:rPr>
          <w:i/>
          <w:color w:val="000000" w:themeColor="text1"/>
          <w:sz w:val="24"/>
          <w:szCs w:val="24"/>
        </w:rPr>
        <w:t>Marriage and Same Sex Relationships after the Shared Conversation: A Report from the House of Bishops</w:t>
      </w:r>
      <w:r w:rsidRPr="005F4939">
        <w:rPr>
          <w:color w:val="000000" w:themeColor="text1"/>
          <w:sz w:val="24"/>
          <w:szCs w:val="24"/>
        </w:rPr>
        <w:t>, Church of England (November, 2016)</w:t>
      </w:r>
    </w:p>
    <w:p w14:paraId="630B03ED" w14:textId="4DA81785" w:rsidR="009729F9" w:rsidRPr="001E49D5" w:rsidRDefault="009729F9" w:rsidP="001E49D5">
      <w:pPr>
        <w:tabs>
          <w:tab w:val="left" w:pos="426"/>
        </w:tabs>
        <w:ind w:left="426" w:right="-22" w:hanging="426"/>
        <w:rPr>
          <w:color w:val="000000" w:themeColor="text1"/>
          <w:sz w:val="24"/>
          <w:szCs w:val="24"/>
        </w:rPr>
      </w:pPr>
    </w:p>
    <w:sectPr w:rsidR="009729F9" w:rsidRPr="001E49D5" w:rsidSect="00B80E94">
      <w:headerReference w:type="first" r:id="rId9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7315B" w14:textId="77777777" w:rsidR="00EE1FF8" w:rsidRDefault="00EE1FF8" w:rsidP="0013597E">
      <w:pPr>
        <w:spacing w:after="0" w:line="240" w:lineRule="auto"/>
      </w:pPr>
      <w:r>
        <w:separator/>
      </w:r>
    </w:p>
  </w:endnote>
  <w:endnote w:type="continuationSeparator" w:id="0">
    <w:p w14:paraId="6E98BF93" w14:textId="77777777" w:rsidR="00EE1FF8" w:rsidRDefault="00EE1FF8" w:rsidP="0013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A9C0" w14:textId="77777777" w:rsidR="00EE1FF8" w:rsidRDefault="00EE1FF8" w:rsidP="0013597E">
      <w:pPr>
        <w:spacing w:after="0" w:line="240" w:lineRule="auto"/>
      </w:pPr>
      <w:r>
        <w:separator/>
      </w:r>
    </w:p>
  </w:footnote>
  <w:footnote w:type="continuationSeparator" w:id="0">
    <w:p w14:paraId="085B3538" w14:textId="77777777" w:rsidR="00EE1FF8" w:rsidRDefault="00EE1FF8" w:rsidP="0013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3620D" w14:textId="00E8457C" w:rsidR="00B80E94" w:rsidRDefault="00B80E94" w:rsidP="00B80E94">
    <w:pPr>
      <w:pStyle w:val="Header"/>
      <w:jc w:val="right"/>
    </w:pPr>
    <w:r>
      <w:rPr>
        <w:b/>
        <w:sz w:val="28"/>
        <w:szCs w:val="28"/>
      </w:rPr>
      <w:t xml:space="preserve">GOD IN LOVE UNITES US: ANCILLARY PAPER </w:t>
    </w:r>
    <w:r w:rsidR="00AD04FD">
      <w:rPr>
        <w:b/>
        <w:sz w:val="28"/>
        <w:szCs w:val="28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3A3"/>
    <w:multiLevelType w:val="hybridMultilevel"/>
    <w:tmpl w:val="4532E53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2143F8"/>
    <w:multiLevelType w:val="hybridMultilevel"/>
    <w:tmpl w:val="96687F14"/>
    <w:lvl w:ilvl="0" w:tplc="C262E636">
      <w:start w:val="1"/>
      <w:numFmt w:val="decimal"/>
      <w:lvlText w:val="A%1.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4EE86807"/>
    <w:multiLevelType w:val="hybridMultilevel"/>
    <w:tmpl w:val="3A8437BC"/>
    <w:lvl w:ilvl="0" w:tplc="D0D04A7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034BBA"/>
    <w:multiLevelType w:val="hybridMultilevel"/>
    <w:tmpl w:val="850462CA"/>
    <w:lvl w:ilvl="0" w:tplc="75F01C2E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7E"/>
    <w:rsid w:val="000031B9"/>
    <w:rsid w:val="00005538"/>
    <w:rsid w:val="00006126"/>
    <w:rsid w:val="0000626B"/>
    <w:rsid w:val="00024254"/>
    <w:rsid w:val="0003655D"/>
    <w:rsid w:val="00060FFC"/>
    <w:rsid w:val="000A3B2B"/>
    <w:rsid w:val="000A5CC6"/>
    <w:rsid w:val="000B6906"/>
    <w:rsid w:val="000C0D78"/>
    <w:rsid w:val="000C3AF2"/>
    <w:rsid w:val="000C7F72"/>
    <w:rsid w:val="000E07E5"/>
    <w:rsid w:val="000E10DC"/>
    <w:rsid w:val="000F26FD"/>
    <w:rsid w:val="000F3B30"/>
    <w:rsid w:val="00102A3E"/>
    <w:rsid w:val="001140B3"/>
    <w:rsid w:val="0012715A"/>
    <w:rsid w:val="0013597E"/>
    <w:rsid w:val="00140E97"/>
    <w:rsid w:val="001419E1"/>
    <w:rsid w:val="00145DCC"/>
    <w:rsid w:val="00146FCF"/>
    <w:rsid w:val="0015237B"/>
    <w:rsid w:val="00172B8C"/>
    <w:rsid w:val="0018533B"/>
    <w:rsid w:val="00190AD6"/>
    <w:rsid w:val="001944C6"/>
    <w:rsid w:val="00194638"/>
    <w:rsid w:val="001A1115"/>
    <w:rsid w:val="001E0BD7"/>
    <w:rsid w:val="001E22B6"/>
    <w:rsid w:val="001E2A89"/>
    <w:rsid w:val="001E49D5"/>
    <w:rsid w:val="00210F97"/>
    <w:rsid w:val="00223BFF"/>
    <w:rsid w:val="00231B25"/>
    <w:rsid w:val="00241789"/>
    <w:rsid w:val="002475E0"/>
    <w:rsid w:val="00254CE3"/>
    <w:rsid w:val="00256C6E"/>
    <w:rsid w:val="00256DD2"/>
    <w:rsid w:val="00295E5A"/>
    <w:rsid w:val="002A3A36"/>
    <w:rsid w:val="002C3623"/>
    <w:rsid w:val="002C469E"/>
    <w:rsid w:val="002E5E7A"/>
    <w:rsid w:val="0030130A"/>
    <w:rsid w:val="0031214F"/>
    <w:rsid w:val="00315DCD"/>
    <w:rsid w:val="003168E2"/>
    <w:rsid w:val="00320910"/>
    <w:rsid w:val="003426A5"/>
    <w:rsid w:val="0038734B"/>
    <w:rsid w:val="003944BD"/>
    <w:rsid w:val="003B6AC2"/>
    <w:rsid w:val="003C0803"/>
    <w:rsid w:val="003C0CCA"/>
    <w:rsid w:val="003D78DB"/>
    <w:rsid w:val="003E674D"/>
    <w:rsid w:val="00412F8B"/>
    <w:rsid w:val="00417C7E"/>
    <w:rsid w:val="00426DC3"/>
    <w:rsid w:val="00437B73"/>
    <w:rsid w:val="00440489"/>
    <w:rsid w:val="00441A06"/>
    <w:rsid w:val="0045351C"/>
    <w:rsid w:val="004545F5"/>
    <w:rsid w:val="0047613E"/>
    <w:rsid w:val="00485351"/>
    <w:rsid w:val="004913A2"/>
    <w:rsid w:val="004A4658"/>
    <w:rsid w:val="004B30E3"/>
    <w:rsid w:val="004C4D8F"/>
    <w:rsid w:val="004D0126"/>
    <w:rsid w:val="004E383C"/>
    <w:rsid w:val="004E7BC9"/>
    <w:rsid w:val="005035A5"/>
    <w:rsid w:val="0050704F"/>
    <w:rsid w:val="00510174"/>
    <w:rsid w:val="00510627"/>
    <w:rsid w:val="00533AB0"/>
    <w:rsid w:val="005432D8"/>
    <w:rsid w:val="0056249D"/>
    <w:rsid w:val="00570ADA"/>
    <w:rsid w:val="005846F2"/>
    <w:rsid w:val="0058773A"/>
    <w:rsid w:val="005951FE"/>
    <w:rsid w:val="005A2343"/>
    <w:rsid w:val="005A3643"/>
    <w:rsid w:val="005B138D"/>
    <w:rsid w:val="005B44E9"/>
    <w:rsid w:val="005B7951"/>
    <w:rsid w:val="005B7A49"/>
    <w:rsid w:val="005D0C82"/>
    <w:rsid w:val="005D421F"/>
    <w:rsid w:val="005E645A"/>
    <w:rsid w:val="005F4939"/>
    <w:rsid w:val="00611937"/>
    <w:rsid w:val="00614196"/>
    <w:rsid w:val="00615884"/>
    <w:rsid w:val="00622227"/>
    <w:rsid w:val="00641FB6"/>
    <w:rsid w:val="00647A91"/>
    <w:rsid w:val="00656C6D"/>
    <w:rsid w:val="00656D15"/>
    <w:rsid w:val="00663ABD"/>
    <w:rsid w:val="0066721C"/>
    <w:rsid w:val="0068050A"/>
    <w:rsid w:val="0068525D"/>
    <w:rsid w:val="00692E73"/>
    <w:rsid w:val="006967AF"/>
    <w:rsid w:val="006C0E1A"/>
    <w:rsid w:val="006C5C85"/>
    <w:rsid w:val="006D26FA"/>
    <w:rsid w:val="006E68BB"/>
    <w:rsid w:val="007312D8"/>
    <w:rsid w:val="007345CD"/>
    <w:rsid w:val="00743969"/>
    <w:rsid w:val="00752199"/>
    <w:rsid w:val="0077079D"/>
    <w:rsid w:val="007801DC"/>
    <w:rsid w:val="00784B74"/>
    <w:rsid w:val="007A56CB"/>
    <w:rsid w:val="007A7CF4"/>
    <w:rsid w:val="007B3C6C"/>
    <w:rsid w:val="007C4D31"/>
    <w:rsid w:val="007E6D6D"/>
    <w:rsid w:val="007F1A45"/>
    <w:rsid w:val="00801A83"/>
    <w:rsid w:val="00801E27"/>
    <w:rsid w:val="008171BF"/>
    <w:rsid w:val="00851EA6"/>
    <w:rsid w:val="00866B9B"/>
    <w:rsid w:val="008851C5"/>
    <w:rsid w:val="008872B3"/>
    <w:rsid w:val="008A22DC"/>
    <w:rsid w:val="008B59A3"/>
    <w:rsid w:val="008C51FF"/>
    <w:rsid w:val="008C5968"/>
    <w:rsid w:val="008D043A"/>
    <w:rsid w:val="008E5695"/>
    <w:rsid w:val="008F1804"/>
    <w:rsid w:val="00916356"/>
    <w:rsid w:val="009208B0"/>
    <w:rsid w:val="009260C1"/>
    <w:rsid w:val="00940BD6"/>
    <w:rsid w:val="00941514"/>
    <w:rsid w:val="009547E7"/>
    <w:rsid w:val="00962224"/>
    <w:rsid w:val="00963F03"/>
    <w:rsid w:val="009729F9"/>
    <w:rsid w:val="00972CC5"/>
    <w:rsid w:val="00985F17"/>
    <w:rsid w:val="00995D04"/>
    <w:rsid w:val="009A1318"/>
    <w:rsid w:val="009A1A30"/>
    <w:rsid w:val="009C2BAB"/>
    <w:rsid w:val="009C3163"/>
    <w:rsid w:val="009D5326"/>
    <w:rsid w:val="009E5CDE"/>
    <w:rsid w:val="009F4419"/>
    <w:rsid w:val="00A20A2C"/>
    <w:rsid w:val="00A32EFA"/>
    <w:rsid w:val="00A41B3B"/>
    <w:rsid w:val="00A453DC"/>
    <w:rsid w:val="00A50B1F"/>
    <w:rsid w:val="00A54601"/>
    <w:rsid w:val="00A60020"/>
    <w:rsid w:val="00A72D42"/>
    <w:rsid w:val="00A93BDA"/>
    <w:rsid w:val="00AA6CD8"/>
    <w:rsid w:val="00AB0158"/>
    <w:rsid w:val="00AB424E"/>
    <w:rsid w:val="00AB47E7"/>
    <w:rsid w:val="00AB47EB"/>
    <w:rsid w:val="00AB5C15"/>
    <w:rsid w:val="00AC6E76"/>
    <w:rsid w:val="00AD04FD"/>
    <w:rsid w:val="00AD1EA0"/>
    <w:rsid w:val="00AF5D44"/>
    <w:rsid w:val="00B1258D"/>
    <w:rsid w:val="00B3228F"/>
    <w:rsid w:val="00B32F8D"/>
    <w:rsid w:val="00B436EC"/>
    <w:rsid w:val="00B45839"/>
    <w:rsid w:val="00B462D3"/>
    <w:rsid w:val="00B64046"/>
    <w:rsid w:val="00B67431"/>
    <w:rsid w:val="00B7167D"/>
    <w:rsid w:val="00B752E9"/>
    <w:rsid w:val="00B80E94"/>
    <w:rsid w:val="00B85715"/>
    <w:rsid w:val="00B91B74"/>
    <w:rsid w:val="00BA39D1"/>
    <w:rsid w:val="00BC398E"/>
    <w:rsid w:val="00BC7FC5"/>
    <w:rsid w:val="00BE69E5"/>
    <w:rsid w:val="00C01236"/>
    <w:rsid w:val="00C05649"/>
    <w:rsid w:val="00C2253C"/>
    <w:rsid w:val="00C5416E"/>
    <w:rsid w:val="00C644AF"/>
    <w:rsid w:val="00C73244"/>
    <w:rsid w:val="00CA4738"/>
    <w:rsid w:val="00CB6669"/>
    <w:rsid w:val="00CC166D"/>
    <w:rsid w:val="00CF5071"/>
    <w:rsid w:val="00D34250"/>
    <w:rsid w:val="00D459CC"/>
    <w:rsid w:val="00D62DD1"/>
    <w:rsid w:val="00D81C3B"/>
    <w:rsid w:val="00D837A2"/>
    <w:rsid w:val="00D90C8D"/>
    <w:rsid w:val="00DB08B5"/>
    <w:rsid w:val="00DC0BD2"/>
    <w:rsid w:val="00DC48A8"/>
    <w:rsid w:val="00DE3B80"/>
    <w:rsid w:val="00DF4719"/>
    <w:rsid w:val="00E0157D"/>
    <w:rsid w:val="00E06028"/>
    <w:rsid w:val="00E0710A"/>
    <w:rsid w:val="00E36134"/>
    <w:rsid w:val="00E50D9E"/>
    <w:rsid w:val="00E52ED1"/>
    <w:rsid w:val="00E602B5"/>
    <w:rsid w:val="00E73957"/>
    <w:rsid w:val="00E86A31"/>
    <w:rsid w:val="00E9099D"/>
    <w:rsid w:val="00E91FB8"/>
    <w:rsid w:val="00EA23F3"/>
    <w:rsid w:val="00ED2B18"/>
    <w:rsid w:val="00EE1FF8"/>
    <w:rsid w:val="00EF2A29"/>
    <w:rsid w:val="00F040AE"/>
    <w:rsid w:val="00F07DE1"/>
    <w:rsid w:val="00F1250F"/>
    <w:rsid w:val="00F367B5"/>
    <w:rsid w:val="00F515EC"/>
    <w:rsid w:val="00F532AE"/>
    <w:rsid w:val="00F63E2A"/>
    <w:rsid w:val="00F65D1A"/>
    <w:rsid w:val="00F67B52"/>
    <w:rsid w:val="00F71D9A"/>
    <w:rsid w:val="00F7552F"/>
    <w:rsid w:val="00FA79B4"/>
    <w:rsid w:val="00FB4A2F"/>
    <w:rsid w:val="00FB577E"/>
    <w:rsid w:val="00FC1B04"/>
    <w:rsid w:val="00FC2E39"/>
    <w:rsid w:val="00FD209F"/>
    <w:rsid w:val="00FE5B13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A94F"/>
  <w15:chartTrackingRefBased/>
  <w15:docId w15:val="{FA2DF66B-94AE-4A4F-89E1-59F1EAF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5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97E"/>
    <w:rPr>
      <w:sz w:val="20"/>
      <w:szCs w:val="20"/>
    </w:rPr>
  </w:style>
  <w:style w:type="character" w:styleId="FootnoteReference">
    <w:name w:val="footnote reference"/>
    <w:uiPriority w:val="99"/>
    <w:semiHidden/>
    <w:rsid w:val="0013597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359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7E"/>
  </w:style>
  <w:style w:type="paragraph" w:styleId="Footer">
    <w:name w:val="footer"/>
    <w:basedOn w:val="Normal"/>
    <w:link w:val="FooterChar"/>
    <w:uiPriority w:val="99"/>
    <w:unhideWhenUsed/>
    <w:rsid w:val="0013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7E"/>
  </w:style>
  <w:style w:type="character" w:styleId="FollowedHyperlink">
    <w:name w:val="FollowedHyperlink"/>
    <w:basedOn w:val="DefaultParagraphFont"/>
    <w:uiPriority w:val="99"/>
    <w:semiHidden/>
    <w:unhideWhenUsed/>
    <w:rsid w:val="005846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MandR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FCB4-851D-4F7E-BCBB-8A23C60A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Howcroft</dc:creator>
  <cp:keywords/>
  <dc:description/>
  <cp:lastModifiedBy>David Webster</cp:lastModifiedBy>
  <cp:revision>4</cp:revision>
  <cp:lastPrinted>2019-04-24T10:16:00Z</cp:lastPrinted>
  <dcterms:created xsi:type="dcterms:W3CDTF">2019-05-10T15:42:00Z</dcterms:created>
  <dcterms:modified xsi:type="dcterms:W3CDTF">2019-05-14T08:37:00Z</dcterms:modified>
</cp:coreProperties>
</file>