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6EF6" w14:textId="6F72061E" w:rsidR="00EE4116" w:rsidRPr="000A604A" w:rsidRDefault="00EE4116" w:rsidP="00886C6F">
      <w:pPr>
        <w:rPr>
          <w:sz w:val="24"/>
          <w:szCs w:val="24"/>
        </w:rPr>
      </w:pPr>
    </w:p>
    <w:p w14:paraId="3193D7B2" w14:textId="77777777" w:rsidR="000A604A" w:rsidRPr="0077029C" w:rsidRDefault="000A604A" w:rsidP="000A604A">
      <w:pPr>
        <w:rPr>
          <w:b/>
          <w:bCs/>
          <w:color w:val="006E78"/>
          <w:sz w:val="32"/>
          <w:szCs w:val="32"/>
        </w:rPr>
      </w:pPr>
      <w:r w:rsidRPr="0077029C">
        <w:rPr>
          <w:i/>
          <w:iCs/>
          <w:color w:val="006E78"/>
          <w:sz w:val="32"/>
          <w:szCs w:val="32"/>
        </w:rPr>
        <w:t>Walking with Micah</w:t>
      </w:r>
      <w:r w:rsidRPr="0077029C">
        <w:rPr>
          <w:color w:val="006E78"/>
          <w:sz w:val="32"/>
          <w:szCs w:val="32"/>
        </w:rPr>
        <w:t xml:space="preserve">. . . </w:t>
      </w:r>
      <w:r w:rsidRPr="0077029C">
        <w:rPr>
          <w:b/>
          <w:bCs/>
          <w:color w:val="006E78"/>
          <w:sz w:val="32"/>
          <w:szCs w:val="32"/>
        </w:rPr>
        <w:t xml:space="preserve">as allies </w:t>
      </w:r>
    </w:p>
    <w:p w14:paraId="0FC68A81" w14:textId="77777777" w:rsidR="000A604A" w:rsidRPr="0077029C" w:rsidRDefault="000A604A" w:rsidP="000A604A">
      <w:pPr>
        <w:rPr>
          <w:b/>
          <w:bCs/>
          <w:color w:val="006E78"/>
          <w:sz w:val="32"/>
          <w:szCs w:val="32"/>
        </w:rPr>
      </w:pPr>
      <w:r w:rsidRPr="0077029C">
        <w:rPr>
          <w:b/>
          <w:bCs/>
          <w:color w:val="006E78"/>
          <w:sz w:val="32"/>
          <w:szCs w:val="32"/>
        </w:rPr>
        <w:t>What hymns can tell us</w:t>
      </w:r>
    </w:p>
    <w:p w14:paraId="4EBC2B3D" w14:textId="77777777" w:rsidR="000A604A" w:rsidRPr="00E17AB1" w:rsidRDefault="000A604A" w:rsidP="000A604A">
      <w:pPr>
        <w:rPr>
          <w:sz w:val="24"/>
          <w:szCs w:val="24"/>
        </w:rPr>
      </w:pPr>
      <w:r w:rsidRPr="000A604A">
        <w:rPr>
          <w:sz w:val="24"/>
          <w:szCs w:val="24"/>
        </w:rPr>
        <w:t xml:space="preserve">The idea of being allies to those in need relates closely to the theme of </w:t>
      </w:r>
      <w:r w:rsidRPr="00791230">
        <w:rPr>
          <w:color w:val="006E78"/>
          <w:sz w:val="24"/>
          <w:szCs w:val="24"/>
        </w:rPr>
        <w:t>Walking with Micah. . . as examples</w:t>
      </w:r>
      <w:r w:rsidRPr="000A604A">
        <w:rPr>
          <w:sz w:val="24"/>
          <w:szCs w:val="24"/>
        </w:rPr>
        <w:t xml:space="preserve">. </w:t>
      </w:r>
      <w:r w:rsidRPr="00E17AB1">
        <w:rPr>
          <w:sz w:val="24"/>
          <w:szCs w:val="24"/>
        </w:rPr>
        <w:t xml:space="preserve">Perhaps, however, the word “ally” adds a helpful nuance to </w:t>
      </w:r>
      <w:r w:rsidRPr="00E17AB1">
        <w:rPr>
          <w:i/>
          <w:iCs/>
          <w:sz w:val="24"/>
          <w:szCs w:val="24"/>
        </w:rPr>
        <w:t>how</w:t>
      </w:r>
      <w:r w:rsidRPr="00E17AB1">
        <w:rPr>
          <w:sz w:val="24"/>
          <w:szCs w:val="24"/>
        </w:rPr>
        <w:t xml:space="preserve"> we act as Micah-inspired examples, not least in the implied possibility of give and take, mutuality and personal growth. </w:t>
      </w:r>
    </w:p>
    <w:p w14:paraId="23D39BBA" w14:textId="77777777" w:rsidR="000A604A" w:rsidRPr="00E17AB1" w:rsidRDefault="000A604A" w:rsidP="000A604A">
      <w:pPr>
        <w:rPr>
          <w:sz w:val="24"/>
          <w:szCs w:val="24"/>
        </w:rPr>
      </w:pPr>
      <w:r w:rsidRPr="00E17AB1">
        <w:rPr>
          <w:sz w:val="24"/>
          <w:szCs w:val="24"/>
        </w:rPr>
        <w:t>The term “allies” is commonly applied to individuals and communities who stand alongside/advocate for members of the LGBQT+ communities, while not themselves identifying as LGBQT+. It is also used in relation living alongside the chronically ill. One online article shares the insights of a number of chronically ill individuals, who describe allies in terms of empathy (“putting the needs of a chronically ill person first”) and “trust, community, advocacy, self-reflection, and change</w:t>
      </w:r>
      <w:proofErr w:type="gramStart"/>
      <w:r w:rsidRPr="00E17AB1">
        <w:rPr>
          <w:sz w:val="24"/>
          <w:szCs w:val="24"/>
        </w:rPr>
        <w:t>”.</w:t>
      </w:r>
      <w:r w:rsidRPr="00E17AB1">
        <w:rPr>
          <w:color w:val="006E78"/>
          <w:sz w:val="24"/>
          <w:szCs w:val="24"/>
        </w:rPr>
        <w:t>*</w:t>
      </w:r>
      <w:proofErr w:type="gramEnd"/>
    </w:p>
    <w:p w14:paraId="0809FCE0" w14:textId="692994F5" w:rsidR="000A604A" w:rsidRPr="00E17AB1" w:rsidRDefault="000A604A" w:rsidP="000A604A">
      <w:pPr>
        <w:rPr>
          <w:sz w:val="24"/>
          <w:szCs w:val="24"/>
        </w:rPr>
      </w:pPr>
      <w:r w:rsidRPr="00E17AB1">
        <w:rPr>
          <w:sz w:val="24"/>
          <w:szCs w:val="24"/>
        </w:rPr>
        <w:t>These are characteristics – qualities, even – that we may apply to seeking justice, the fair distribution of resources, and support for those whose safety nets have been removed. Dave Bankhead et al. are explicit about this: “I will speak out for those who have no voices. . . I will speak out for those who have no choices; I will cry out for those who live without love. . .” (</w:t>
      </w:r>
      <w:hyperlink r:id="rId7" w:history="1">
        <w:r w:rsidRPr="00876F4A">
          <w:rPr>
            <w:rStyle w:val="Hyperlink"/>
            <w:color w:val="006E78"/>
            <w:sz w:val="24"/>
            <w:szCs w:val="24"/>
          </w:rPr>
          <w:t>StF 702</w:t>
        </w:r>
      </w:hyperlink>
      <w:r w:rsidRPr="00E17AB1">
        <w:rPr>
          <w:sz w:val="24"/>
          <w:szCs w:val="24"/>
        </w:rPr>
        <w:t>). The examples of Jesus standing by a woman “caught in adultery” (</w:t>
      </w:r>
      <w:hyperlink r:id="rId8" w:history="1">
        <w:r w:rsidRPr="00876F4A">
          <w:rPr>
            <w:rStyle w:val="Hyperlink"/>
            <w:color w:val="006E78"/>
            <w:sz w:val="24"/>
            <w:szCs w:val="24"/>
          </w:rPr>
          <w:t>John 8: 2-11</w:t>
        </w:r>
      </w:hyperlink>
      <w:r w:rsidRPr="00E17AB1">
        <w:rPr>
          <w:sz w:val="24"/>
          <w:szCs w:val="24"/>
        </w:rPr>
        <w:t>) and Yahweh standing by Hagar and Ishmael, banished to the desert (</w:t>
      </w:r>
      <w:hyperlink r:id="rId9" w:history="1">
        <w:r w:rsidRPr="00876F4A">
          <w:rPr>
            <w:rStyle w:val="Hyperlink"/>
            <w:color w:val="006E78"/>
            <w:sz w:val="24"/>
            <w:szCs w:val="24"/>
          </w:rPr>
          <w:t>Genesis 21: 8-20</w:t>
        </w:r>
      </w:hyperlink>
      <w:r w:rsidRPr="00E17AB1">
        <w:rPr>
          <w:sz w:val="24"/>
          <w:szCs w:val="24"/>
        </w:rPr>
        <w:t>)</w:t>
      </w:r>
      <w:r w:rsidRPr="007B65CC">
        <w:rPr>
          <w:color w:val="006E78"/>
          <w:sz w:val="24"/>
          <w:szCs w:val="24"/>
        </w:rPr>
        <w:t>**</w:t>
      </w:r>
      <w:r w:rsidRPr="00E17AB1">
        <w:rPr>
          <w:sz w:val="24"/>
          <w:szCs w:val="24"/>
        </w:rPr>
        <w:t xml:space="preserve"> both show how God cuts through complex social and family assumptions.</w:t>
      </w:r>
    </w:p>
    <w:p w14:paraId="1D5629CA" w14:textId="23FEBF17" w:rsidR="000A604A" w:rsidRPr="00E17AB1" w:rsidRDefault="000A604A" w:rsidP="000A604A">
      <w:pPr>
        <w:rPr>
          <w:b/>
          <w:bCs/>
          <w:sz w:val="28"/>
          <w:szCs w:val="28"/>
        </w:rPr>
      </w:pPr>
      <w:r w:rsidRPr="00E17AB1">
        <w:rPr>
          <w:b/>
          <w:bCs/>
          <w:sz w:val="28"/>
          <w:szCs w:val="28"/>
        </w:rPr>
        <w:t>Giving and receiving</w:t>
      </w:r>
    </w:p>
    <w:p w14:paraId="0236C9BD" w14:textId="286BA891" w:rsidR="000A604A" w:rsidRPr="00E17AB1" w:rsidRDefault="000A604A" w:rsidP="000A604A">
      <w:pPr>
        <w:rPr>
          <w:sz w:val="24"/>
          <w:szCs w:val="24"/>
        </w:rPr>
      </w:pPr>
      <w:r w:rsidRPr="00E17AB1">
        <w:rPr>
          <w:sz w:val="24"/>
          <w:szCs w:val="24"/>
        </w:rPr>
        <w:t>Embedded within the term “ally”, there is also the requirement to invest: both in long-term relationships and through practical engagement. Both aspects inform the story of Ruth and Boaz</w:t>
      </w:r>
      <w:r w:rsidRPr="000A604A">
        <w:rPr>
          <w:sz w:val="24"/>
          <w:szCs w:val="24"/>
        </w:rPr>
        <w:t xml:space="preserve"> (</w:t>
      </w:r>
      <w:r w:rsidRPr="00791230">
        <w:rPr>
          <w:color w:val="006E78"/>
          <w:sz w:val="24"/>
          <w:szCs w:val="24"/>
        </w:rPr>
        <w:t>explored as part of the Bible Month focus on the book of Ruth in 2020</w:t>
      </w:r>
      <w:r w:rsidRPr="000A604A">
        <w:rPr>
          <w:sz w:val="24"/>
          <w:szCs w:val="24"/>
        </w:rPr>
        <w:t xml:space="preserve">) </w:t>
      </w:r>
      <w:r w:rsidRPr="00E17AB1">
        <w:rPr>
          <w:sz w:val="24"/>
          <w:szCs w:val="24"/>
        </w:rPr>
        <w:t xml:space="preserve">and are reflected in Richard Gillard’s popular hymn, </w:t>
      </w:r>
      <w:hyperlink r:id="rId10" w:history="1">
        <w:r w:rsidRPr="00876F4A">
          <w:rPr>
            <w:rStyle w:val="Hyperlink"/>
            <w:color w:val="006E78"/>
            <w:sz w:val="24"/>
            <w:szCs w:val="24"/>
          </w:rPr>
          <w:t>Brother, sister, let me serve you</w:t>
        </w:r>
      </w:hyperlink>
      <w:r w:rsidRPr="00E17AB1">
        <w:rPr>
          <w:sz w:val="24"/>
          <w:szCs w:val="24"/>
        </w:rPr>
        <w:t xml:space="preserve"> (StF 611). Both Gillard and Michael Forster (</w:t>
      </w:r>
      <w:hyperlink r:id="rId11" w:history="1">
        <w:r w:rsidRPr="00876F4A">
          <w:rPr>
            <w:rStyle w:val="Hyperlink"/>
            <w:color w:val="006E78"/>
            <w:sz w:val="24"/>
            <w:szCs w:val="24"/>
          </w:rPr>
          <w:t>Let love be real, in giving and receiving</w:t>
        </w:r>
      </w:hyperlink>
      <w:r w:rsidRPr="00E17AB1">
        <w:rPr>
          <w:sz w:val="24"/>
          <w:szCs w:val="24"/>
        </w:rPr>
        <w:t>, StF 615) also highlight the mutuality of being an ally, receiving as well as the giving. Forster’s refrain reads:</w:t>
      </w:r>
    </w:p>
    <w:p w14:paraId="0AE5F928" w14:textId="77777777" w:rsidR="000A604A" w:rsidRPr="00E17AB1" w:rsidRDefault="000A604A" w:rsidP="000A604A">
      <w:pPr>
        <w:rPr>
          <w:sz w:val="24"/>
          <w:szCs w:val="24"/>
        </w:rPr>
      </w:pPr>
      <w:r w:rsidRPr="00E17AB1">
        <w:rPr>
          <w:sz w:val="24"/>
          <w:szCs w:val="24"/>
        </w:rPr>
        <w:t>As God loves us, so let us love each other:</w:t>
      </w:r>
      <w:r w:rsidRPr="00E17AB1">
        <w:rPr>
          <w:sz w:val="24"/>
          <w:szCs w:val="24"/>
        </w:rPr>
        <w:br/>
        <w:t>with no demands, just open hands and space to grow.</w:t>
      </w:r>
    </w:p>
    <w:p w14:paraId="33942E6E" w14:textId="41BD1DD5" w:rsidR="000A604A" w:rsidRPr="00E17AB1" w:rsidRDefault="000A604A" w:rsidP="000A604A">
      <w:pPr>
        <w:rPr>
          <w:sz w:val="24"/>
          <w:szCs w:val="24"/>
        </w:rPr>
      </w:pPr>
      <w:r w:rsidRPr="00E17AB1">
        <w:rPr>
          <w:sz w:val="24"/>
          <w:szCs w:val="24"/>
        </w:rPr>
        <w:t>We don’t always get this right. It is hard to be a consistent ally (</w:t>
      </w:r>
      <w:hyperlink r:id="rId12" w:history="1">
        <w:r w:rsidRPr="00876F4A">
          <w:rPr>
            <w:rStyle w:val="Hyperlink"/>
            <w:color w:val="006E78"/>
            <w:sz w:val="24"/>
            <w:szCs w:val="24"/>
          </w:rPr>
          <w:t>Before I take the body of my Lord</w:t>
        </w:r>
      </w:hyperlink>
      <w:r w:rsidRPr="00E17AB1">
        <w:rPr>
          <w:sz w:val="24"/>
          <w:szCs w:val="24"/>
        </w:rPr>
        <w:t xml:space="preserve">, StF 575). As Andrew Pratt puts it in his challenging text, </w:t>
      </w:r>
      <w:hyperlink r:id="rId13" w:history="1">
        <w:r w:rsidRPr="00876F4A">
          <w:rPr>
            <w:rStyle w:val="Hyperlink"/>
            <w:color w:val="006E78"/>
            <w:sz w:val="24"/>
            <w:szCs w:val="24"/>
          </w:rPr>
          <w:t>If we claim to love our neighbour</w:t>
        </w:r>
      </w:hyperlink>
      <w:r w:rsidRPr="00E17AB1">
        <w:rPr>
          <w:sz w:val="24"/>
          <w:szCs w:val="24"/>
        </w:rPr>
        <w:t xml:space="preserve"> (StF+): </w:t>
      </w:r>
    </w:p>
    <w:p w14:paraId="56C5F396" w14:textId="77777777" w:rsidR="000A604A" w:rsidRPr="00E17AB1" w:rsidRDefault="000A604A" w:rsidP="000A604A">
      <w:pPr>
        <w:rPr>
          <w:sz w:val="24"/>
          <w:szCs w:val="24"/>
        </w:rPr>
      </w:pPr>
      <w:r w:rsidRPr="00E17AB1">
        <w:rPr>
          <w:sz w:val="24"/>
          <w:szCs w:val="24"/>
        </w:rPr>
        <w:t>Love of neighbour is not easy,</w:t>
      </w:r>
      <w:r w:rsidRPr="00E17AB1">
        <w:rPr>
          <w:sz w:val="24"/>
          <w:szCs w:val="24"/>
        </w:rPr>
        <w:br/>
        <w:t>cuts us till we feel the pain,</w:t>
      </w:r>
      <w:r w:rsidRPr="00E17AB1">
        <w:rPr>
          <w:sz w:val="24"/>
          <w:szCs w:val="24"/>
        </w:rPr>
        <w:br/>
        <w:t>sharing hurt that they are feeling</w:t>
      </w:r>
      <w:r w:rsidRPr="00E17AB1">
        <w:rPr>
          <w:sz w:val="24"/>
          <w:szCs w:val="24"/>
        </w:rPr>
        <w:br/>
        <w:t>till they find new life again.</w:t>
      </w:r>
    </w:p>
    <w:p w14:paraId="031EB6F2" w14:textId="0BF0C718" w:rsidR="000A604A" w:rsidRPr="00E17AB1" w:rsidRDefault="000A604A" w:rsidP="000A604A">
      <w:pPr>
        <w:rPr>
          <w:sz w:val="24"/>
          <w:szCs w:val="24"/>
        </w:rPr>
      </w:pPr>
      <w:r w:rsidRPr="000A604A">
        <w:rPr>
          <w:sz w:val="24"/>
          <w:szCs w:val="24"/>
        </w:rPr>
        <w:lastRenderedPageBreak/>
        <w:t xml:space="preserve">Nevertheless, one of </w:t>
      </w:r>
      <w:r w:rsidRPr="00791230">
        <w:rPr>
          <w:color w:val="006E78"/>
          <w:sz w:val="24"/>
          <w:szCs w:val="24"/>
        </w:rPr>
        <w:t>Rachel Lampard’s top tips</w:t>
      </w:r>
      <w:r w:rsidRPr="00E17AB1">
        <w:rPr>
          <w:color w:val="006E78"/>
          <w:sz w:val="24"/>
          <w:szCs w:val="24"/>
        </w:rPr>
        <w:t xml:space="preserve"> </w:t>
      </w:r>
      <w:r w:rsidRPr="00E17AB1">
        <w:rPr>
          <w:sz w:val="24"/>
          <w:szCs w:val="24"/>
        </w:rPr>
        <w:t xml:space="preserve">for maintaining our commitment to change and justice is to “stay authentic”. She says that for campaigners, in particular, the act of volunteering or working alongside those we are campaigning for is important in order to ensure what we’re talking about matches lived experience. Tim Hughes encapsulates this in </w:t>
      </w:r>
      <w:hyperlink r:id="rId14" w:history="1">
        <w:r w:rsidRPr="00876F4A">
          <w:rPr>
            <w:rStyle w:val="Hyperlink"/>
            <w:color w:val="006E78"/>
            <w:sz w:val="24"/>
            <w:szCs w:val="24"/>
          </w:rPr>
          <w:t>God of justice, Saviour to all</w:t>
        </w:r>
      </w:hyperlink>
      <w:r w:rsidRPr="00E17AB1">
        <w:rPr>
          <w:sz w:val="24"/>
          <w:szCs w:val="24"/>
        </w:rPr>
        <w:t xml:space="preserve"> (StF 699):</w:t>
      </w:r>
    </w:p>
    <w:p w14:paraId="4C5D1DDB" w14:textId="77777777" w:rsidR="000A604A" w:rsidRPr="00E17AB1" w:rsidRDefault="000A604A" w:rsidP="000A604A">
      <w:pPr>
        <w:rPr>
          <w:sz w:val="24"/>
          <w:szCs w:val="24"/>
        </w:rPr>
      </w:pPr>
      <w:r w:rsidRPr="00E17AB1">
        <w:rPr>
          <w:sz w:val="24"/>
          <w:szCs w:val="24"/>
        </w:rPr>
        <w:t>Stepping forward,</w:t>
      </w:r>
      <w:r w:rsidRPr="00E17AB1">
        <w:rPr>
          <w:sz w:val="24"/>
          <w:szCs w:val="24"/>
        </w:rPr>
        <w:br/>
        <w:t>keep us from just singing,</w:t>
      </w:r>
      <w:r w:rsidRPr="00E17AB1">
        <w:rPr>
          <w:sz w:val="24"/>
          <w:szCs w:val="24"/>
        </w:rPr>
        <w:br/>
        <w:t>move us into action,</w:t>
      </w:r>
      <w:r w:rsidRPr="00E17AB1">
        <w:rPr>
          <w:sz w:val="24"/>
          <w:szCs w:val="24"/>
        </w:rPr>
        <w:br/>
        <w:t>we must go.</w:t>
      </w:r>
    </w:p>
    <w:p w14:paraId="2B4F4064" w14:textId="304B4CED" w:rsidR="000A604A" w:rsidRPr="00E17AB1" w:rsidRDefault="000A604A" w:rsidP="000A604A">
      <w:pPr>
        <w:rPr>
          <w:sz w:val="24"/>
          <w:szCs w:val="24"/>
        </w:rPr>
      </w:pPr>
      <w:r w:rsidRPr="00E17AB1">
        <w:rPr>
          <w:sz w:val="24"/>
          <w:szCs w:val="24"/>
        </w:rPr>
        <w:t xml:space="preserve">(In verse 2 of this hymn, Hughes also paraphrases </w:t>
      </w:r>
      <w:hyperlink r:id="rId15" w:history="1">
        <w:r w:rsidRPr="00876F4A">
          <w:rPr>
            <w:rStyle w:val="Hyperlink"/>
            <w:color w:val="006E78"/>
            <w:sz w:val="24"/>
            <w:szCs w:val="24"/>
          </w:rPr>
          <w:t>Micah 6: 8</w:t>
        </w:r>
      </w:hyperlink>
      <w:r w:rsidRPr="00E17AB1">
        <w:rPr>
          <w:sz w:val="24"/>
          <w:szCs w:val="24"/>
        </w:rPr>
        <w:t>.)</w:t>
      </w:r>
    </w:p>
    <w:p w14:paraId="1449E615" w14:textId="442ADB26" w:rsidR="000A604A" w:rsidRPr="00E17AB1" w:rsidRDefault="000A604A" w:rsidP="000A604A">
      <w:pPr>
        <w:rPr>
          <w:b/>
          <w:bCs/>
          <w:sz w:val="28"/>
          <w:szCs w:val="28"/>
        </w:rPr>
      </w:pPr>
      <w:r w:rsidRPr="00E17AB1">
        <w:rPr>
          <w:b/>
          <w:bCs/>
          <w:sz w:val="28"/>
          <w:szCs w:val="28"/>
        </w:rPr>
        <w:t>Standing with Christ</w:t>
      </w:r>
    </w:p>
    <w:p w14:paraId="1A66010A" w14:textId="4E4C0E59" w:rsidR="000A604A" w:rsidRPr="00E17AB1" w:rsidRDefault="000A604A" w:rsidP="000A604A">
      <w:pPr>
        <w:rPr>
          <w:sz w:val="24"/>
          <w:szCs w:val="24"/>
        </w:rPr>
      </w:pPr>
      <w:r w:rsidRPr="00E17AB1">
        <w:rPr>
          <w:sz w:val="24"/>
          <w:szCs w:val="24"/>
        </w:rPr>
        <w:t>Finally, but critically, Marnie Barrell reminds us that, as Christian disciples, being an ally works in more than one direction: “we stand with Christ” as well as those who need our help (</w:t>
      </w:r>
      <w:hyperlink r:id="rId16" w:history="1">
        <w:r w:rsidRPr="00876F4A">
          <w:rPr>
            <w:rStyle w:val="Hyperlink"/>
            <w:color w:val="006E78"/>
            <w:sz w:val="24"/>
            <w:szCs w:val="24"/>
          </w:rPr>
          <w:t>We do not hope to ease our minds</w:t>
        </w:r>
      </w:hyperlink>
      <w:r w:rsidRPr="00E17AB1">
        <w:rPr>
          <w:sz w:val="24"/>
          <w:szCs w:val="24"/>
        </w:rPr>
        <w:t>, StF 717). St Paul reminds us (</w:t>
      </w:r>
      <w:hyperlink r:id="rId17" w:history="1">
        <w:r w:rsidRPr="00876F4A">
          <w:rPr>
            <w:rStyle w:val="Hyperlink"/>
            <w:color w:val="006E78"/>
            <w:sz w:val="24"/>
            <w:szCs w:val="24"/>
          </w:rPr>
          <w:t>1 Corinthians 12</w:t>
        </w:r>
      </w:hyperlink>
      <w:r w:rsidRPr="00E17AB1">
        <w:rPr>
          <w:sz w:val="24"/>
          <w:szCs w:val="24"/>
        </w:rPr>
        <w:t xml:space="preserve">) that the Christian community is Christ’s body in the here and now, assisting as we are able with God’s work. </w:t>
      </w:r>
    </w:p>
    <w:p w14:paraId="5642A5C3" w14:textId="77777777" w:rsidR="000A604A" w:rsidRPr="00E17AB1" w:rsidRDefault="000A604A" w:rsidP="000A604A">
      <w:pPr>
        <w:rPr>
          <w:sz w:val="24"/>
          <w:szCs w:val="24"/>
        </w:rPr>
      </w:pPr>
      <w:r w:rsidRPr="00E17AB1">
        <w:rPr>
          <w:sz w:val="24"/>
          <w:szCs w:val="24"/>
        </w:rPr>
        <w:t>“Christ has no body now but yours”, wrote St Teresa of Avila. “No hands, no feet on earth but yours. Yours are the eyes through which he looks compassion on this world. Yours are the feet with which he walks to do good. Yours are the hands through which he blesses all the world. Yours are the hands, yours are the feet, yours are the eyes, you are his body. Christ has no body now on earth but yours.”</w:t>
      </w:r>
    </w:p>
    <w:p w14:paraId="654976E3" w14:textId="77777777" w:rsidR="000A604A" w:rsidRPr="000A604A" w:rsidRDefault="000A604A" w:rsidP="000A604A">
      <w:pPr>
        <w:rPr>
          <w:color w:val="FF0000"/>
          <w:sz w:val="24"/>
          <w:szCs w:val="24"/>
        </w:rPr>
      </w:pPr>
    </w:p>
    <w:p w14:paraId="4E62C79F" w14:textId="77777777" w:rsidR="000A604A" w:rsidRPr="000A604A" w:rsidRDefault="000A604A" w:rsidP="000A604A">
      <w:pPr>
        <w:rPr>
          <w:color w:val="FF0000"/>
          <w:sz w:val="24"/>
          <w:szCs w:val="24"/>
        </w:rPr>
      </w:pPr>
    </w:p>
    <w:p w14:paraId="3E90F17C" w14:textId="6144BDCE" w:rsidR="000A604A" w:rsidRPr="000A604A" w:rsidRDefault="000A604A" w:rsidP="000A604A">
      <w:pPr>
        <w:rPr>
          <w:color w:val="FF0000"/>
          <w:sz w:val="24"/>
          <w:szCs w:val="24"/>
        </w:rPr>
      </w:pPr>
      <w:r w:rsidRPr="0077029C">
        <w:rPr>
          <w:color w:val="006E78"/>
          <w:sz w:val="24"/>
          <w:szCs w:val="24"/>
        </w:rPr>
        <w:t>*</w:t>
      </w:r>
      <w:hyperlink r:id="rId18" w:history="1">
        <w:r w:rsidRPr="00876F4A">
          <w:rPr>
            <w:rStyle w:val="Hyperlink"/>
            <w:color w:val="006E78"/>
            <w:sz w:val="24"/>
            <w:szCs w:val="24"/>
          </w:rPr>
          <w:t>How to be a chronic illness ally</w:t>
        </w:r>
      </w:hyperlink>
      <w:r w:rsidRPr="00876F4A">
        <w:rPr>
          <w:color w:val="006E78"/>
          <w:sz w:val="24"/>
          <w:szCs w:val="24"/>
        </w:rPr>
        <w:t xml:space="preserve"> </w:t>
      </w:r>
      <w:r w:rsidRPr="0077029C">
        <w:rPr>
          <w:color w:val="006E78"/>
          <w:sz w:val="24"/>
          <w:szCs w:val="24"/>
        </w:rPr>
        <w:t>(medtruth.com)</w:t>
      </w:r>
    </w:p>
    <w:p w14:paraId="598CE9E7" w14:textId="15AC89C8" w:rsidR="000A604A" w:rsidRPr="000A604A" w:rsidRDefault="000A604A" w:rsidP="000A604A">
      <w:pPr>
        <w:rPr>
          <w:rFonts w:ascii="Arial" w:eastAsiaTheme="majorEastAsia" w:hAnsi="Arial" w:cs="Arial"/>
          <w:color w:val="000000"/>
          <w:spacing w:val="-15"/>
          <w:sz w:val="24"/>
          <w:szCs w:val="24"/>
        </w:rPr>
      </w:pPr>
      <w:r w:rsidRPr="0077029C">
        <w:rPr>
          <w:color w:val="006E78"/>
          <w:sz w:val="24"/>
          <w:szCs w:val="24"/>
        </w:rPr>
        <w:t>**</w:t>
      </w:r>
      <w:r w:rsidRPr="000A604A">
        <w:rPr>
          <w:sz w:val="24"/>
          <w:szCs w:val="24"/>
        </w:rPr>
        <w:t xml:space="preserve">In his article for </w:t>
      </w:r>
      <w:proofErr w:type="spellStart"/>
      <w:r w:rsidRPr="000A604A">
        <w:rPr>
          <w:sz w:val="24"/>
          <w:szCs w:val="24"/>
        </w:rPr>
        <w:t>Patheos</w:t>
      </w:r>
      <w:proofErr w:type="spellEnd"/>
      <w:r w:rsidRPr="000A604A">
        <w:rPr>
          <w:sz w:val="24"/>
          <w:szCs w:val="24"/>
        </w:rPr>
        <w:t xml:space="preserve">, </w:t>
      </w:r>
      <w:hyperlink r:id="rId19" w:history="1">
        <w:r w:rsidRPr="00876F4A">
          <w:rPr>
            <w:rStyle w:val="Hyperlink"/>
            <w:color w:val="006E78"/>
            <w:sz w:val="24"/>
            <w:szCs w:val="24"/>
          </w:rPr>
          <w:t>“Jesus and Marginalized Communities”</w:t>
        </w:r>
      </w:hyperlink>
      <w:r w:rsidRPr="000A604A">
        <w:rPr>
          <w:sz w:val="24"/>
          <w:szCs w:val="24"/>
        </w:rPr>
        <w:t>, Herb Montgomery refers to the use of Hagar’s story by womanist theologian Delores Williams: she argues that “‘God’s activity’ is not always liberation. There are times when, as in the case of Hagar, God provides a way of survival in exploitative situations.”</w:t>
      </w:r>
    </w:p>
    <w:p w14:paraId="0461A8C2" w14:textId="77777777" w:rsidR="000A604A" w:rsidRPr="000A604A" w:rsidRDefault="000A604A" w:rsidP="00886C6F">
      <w:pPr>
        <w:rPr>
          <w:sz w:val="24"/>
          <w:szCs w:val="24"/>
        </w:rPr>
      </w:pPr>
    </w:p>
    <w:sectPr w:rsidR="000A604A" w:rsidRPr="000A604A" w:rsidSect="00EE4116">
      <w:headerReference w:type="even" r:id="rId20"/>
      <w:headerReference w:type="default" r:id="rId21"/>
      <w:footerReference w:type="even" r:id="rId22"/>
      <w:footerReference w:type="default" r:id="rId23"/>
      <w:headerReference w:type="first" r:id="rId24"/>
      <w:footerReference w:type="first" r:id="rId25"/>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D055" w14:textId="77777777" w:rsidR="00846FD9" w:rsidRDefault="00846FD9" w:rsidP="00BC1F0E">
      <w:pPr>
        <w:spacing w:after="0" w:line="240" w:lineRule="auto"/>
      </w:pPr>
      <w:r>
        <w:separator/>
      </w:r>
    </w:p>
  </w:endnote>
  <w:endnote w:type="continuationSeparator" w:id="0">
    <w:p w14:paraId="60C59D61" w14:textId="77777777" w:rsidR="00846FD9" w:rsidRDefault="00846FD9" w:rsidP="00BC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52AE" w14:textId="77777777" w:rsidR="00886C6F" w:rsidRDefault="00886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3403" w14:textId="77777777" w:rsidR="00886C6F" w:rsidRDefault="00886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88B3" w14:textId="77777777" w:rsidR="00886C6F" w:rsidRDefault="00886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D4DA" w14:textId="77777777" w:rsidR="00846FD9" w:rsidRDefault="00846FD9" w:rsidP="00BC1F0E">
      <w:pPr>
        <w:spacing w:after="0" w:line="240" w:lineRule="auto"/>
      </w:pPr>
      <w:r>
        <w:separator/>
      </w:r>
    </w:p>
  </w:footnote>
  <w:footnote w:type="continuationSeparator" w:id="0">
    <w:p w14:paraId="269E04A3" w14:textId="77777777" w:rsidR="00846FD9" w:rsidRDefault="00846FD9" w:rsidP="00BC1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72D5" w14:textId="77777777" w:rsidR="00886C6F" w:rsidRDefault="00886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AD9A" w14:textId="77777777" w:rsidR="00886C6F" w:rsidRDefault="00886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7CB6" w14:textId="67C144C4" w:rsidR="00EE4116" w:rsidRDefault="00886C6F">
    <w:pPr>
      <w:pStyle w:val="Header"/>
    </w:pPr>
    <w:r>
      <w:rPr>
        <w:noProof/>
        <w:lang w:eastAsia="en-GB"/>
      </w:rPr>
      <w:drawing>
        <wp:anchor distT="0" distB="0" distL="114300" distR="114300" simplePos="0" relativeHeight="251659264" behindDoc="1" locked="0" layoutInCell="1" allowOverlap="1" wp14:anchorId="7C77FCEC" wp14:editId="0D0E7A2F">
          <wp:simplePos x="0" y="0"/>
          <wp:positionH relativeFrom="column">
            <wp:posOffset>-551815</wp:posOffset>
          </wp:positionH>
          <wp:positionV relativeFrom="paragraph">
            <wp:posOffset>-60976</wp:posOffset>
          </wp:positionV>
          <wp:extent cx="1781504" cy="386124"/>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81504" cy="386124"/>
                  </a:xfrm>
                  <a:prstGeom prst="rect">
                    <a:avLst/>
                  </a:prstGeom>
                </pic:spPr>
              </pic:pic>
            </a:graphicData>
          </a:graphic>
          <wp14:sizeRelH relativeFrom="page">
            <wp14:pctWidth>0</wp14:pctWidth>
          </wp14:sizeRelH>
          <wp14:sizeRelV relativeFrom="page">
            <wp14:pctHeight>0</wp14:pctHeight>
          </wp14:sizeRelV>
        </wp:anchor>
      </w:drawing>
    </w:r>
    <w:r w:rsidR="0082404B">
      <w:rPr>
        <w:noProof/>
        <w:lang w:eastAsia="en-GB"/>
      </w:rPr>
      <w:drawing>
        <wp:anchor distT="0" distB="0" distL="0" distR="0" simplePos="0" relativeHeight="251658240" behindDoc="1" locked="1" layoutInCell="1" allowOverlap="1" wp14:anchorId="3A62B1FD" wp14:editId="7753031C">
          <wp:simplePos x="0" y="0"/>
          <wp:positionH relativeFrom="page">
            <wp:posOffset>0</wp:posOffset>
          </wp:positionH>
          <wp:positionV relativeFrom="page">
            <wp:posOffset>0</wp:posOffset>
          </wp:positionV>
          <wp:extent cx="7560000" cy="1069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22ED50"/>
    <w:lvl w:ilvl="0">
      <w:start w:val="1"/>
      <w:numFmt w:val="decimal"/>
      <w:lvlText w:val="%1."/>
      <w:lvlJc w:val="left"/>
      <w:pPr>
        <w:tabs>
          <w:tab w:val="num" w:pos="1800"/>
        </w:tabs>
        <w:ind w:left="1800" w:hanging="360"/>
      </w:pPr>
    </w:lvl>
  </w:abstractNum>
  <w:abstractNum w:abstractNumId="1" w15:restartNumberingAfterBreak="0">
    <w:nsid w:val="366A4640"/>
    <w:multiLevelType w:val="hybridMultilevel"/>
    <w:tmpl w:val="19F2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00"/>
    <w:rsid w:val="000A604A"/>
    <w:rsid w:val="000B3D7C"/>
    <w:rsid w:val="001847B3"/>
    <w:rsid w:val="001900DD"/>
    <w:rsid w:val="00395263"/>
    <w:rsid w:val="003D7756"/>
    <w:rsid w:val="00406AC2"/>
    <w:rsid w:val="004A05A7"/>
    <w:rsid w:val="004D57EA"/>
    <w:rsid w:val="004D5EC8"/>
    <w:rsid w:val="0059277B"/>
    <w:rsid w:val="006C07AC"/>
    <w:rsid w:val="006E7E00"/>
    <w:rsid w:val="006F6F84"/>
    <w:rsid w:val="00710FFA"/>
    <w:rsid w:val="0077029C"/>
    <w:rsid w:val="00791230"/>
    <w:rsid w:val="007B65CC"/>
    <w:rsid w:val="00802BA4"/>
    <w:rsid w:val="00810E13"/>
    <w:rsid w:val="0082404B"/>
    <w:rsid w:val="00836524"/>
    <w:rsid w:val="00846FD9"/>
    <w:rsid w:val="00876F4A"/>
    <w:rsid w:val="00886C6F"/>
    <w:rsid w:val="008D176D"/>
    <w:rsid w:val="00B01820"/>
    <w:rsid w:val="00BA3A6F"/>
    <w:rsid w:val="00BC1F0E"/>
    <w:rsid w:val="00BC22C7"/>
    <w:rsid w:val="00C53646"/>
    <w:rsid w:val="00C65449"/>
    <w:rsid w:val="00DE76D0"/>
    <w:rsid w:val="00E17AB1"/>
    <w:rsid w:val="00E70227"/>
    <w:rsid w:val="00E77122"/>
    <w:rsid w:val="00EE4116"/>
    <w:rsid w:val="00F068C4"/>
    <w:rsid w:val="00F81F70"/>
    <w:rsid w:val="00F8529E"/>
    <w:rsid w:val="00F9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672AB"/>
  <w15:chartTrackingRefBased/>
  <w15:docId w15:val="{8B53289D-05D2-49A2-A9DF-B1F30396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4A"/>
    <w:pPr>
      <w:spacing w:after="160" w:line="259" w:lineRule="auto"/>
    </w:pPr>
    <w:rPr>
      <w:rFonts w:eastAsiaTheme="minorHAnsi"/>
    </w:rPr>
  </w:style>
  <w:style w:type="paragraph" w:styleId="Heading1">
    <w:name w:val="heading 1"/>
    <w:basedOn w:val="Normal"/>
    <w:next w:val="Normal"/>
    <w:link w:val="Heading1Char"/>
    <w:uiPriority w:val="9"/>
    <w:qFormat/>
    <w:rsid w:val="00BC1F0E"/>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BC1F0E"/>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BC1F0E"/>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rPr>
  </w:style>
  <w:style w:type="paragraph" w:styleId="Heading4">
    <w:name w:val="heading 4"/>
    <w:basedOn w:val="Normal"/>
    <w:next w:val="Normal"/>
    <w:link w:val="Heading4Char"/>
    <w:uiPriority w:val="9"/>
    <w:semiHidden/>
    <w:unhideWhenUsed/>
    <w:qFormat/>
    <w:rsid w:val="00BC1F0E"/>
    <w:pPr>
      <w:spacing w:before="200" w:after="100" w:line="240" w:lineRule="auto"/>
      <w:contextualSpacing/>
      <w:outlineLvl w:val="3"/>
    </w:pPr>
    <w:rPr>
      <w:rFonts w:asciiTheme="majorHAnsi" w:eastAsiaTheme="majorEastAsia" w:hAnsiTheme="majorHAnsi" w:cstheme="majorBidi"/>
      <w:b/>
      <w:bCs/>
      <w:color w:val="2F5496" w:themeColor="accent1" w:themeShade="BF"/>
      <w:sz w:val="24"/>
    </w:rPr>
  </w:style>
  <w:style w:type="paragraph" w:styleId="Heading5">
    <w:name w:val="heading 5"/>
    <w:basedOn w:val="Normal"/>
    <w:next w:val="Normal"/>
    <w:link w:val="Heading5Char"/>
    <w:uiPriority w:val="9"/>
    <w:semiHidden/>
    <w:unhideWhenUsed/>
    <w:qFormat/>
    <w:rsid w:val="00BC1F0E"/>
    <w:pPr>
      <w:spacing w:before="200" w:after="100" w:line="240" w:lineRule="auto"/>
      <w:contextualSpacing/>
      <w:outlineLvl w:val="4"/>
    </w:pPr>
    <w:rPr>
      <w:rFonts w:asciiTheme="majorHAnsi" w:eastAsiaTheme="majorEastAsia" w:hAnsiTheme="majorHAnsi" w:cstheme="majorBidi"/>
      <w:bCs/>
      <w:caps/>
      <w:color w:val="C45911" w:themeColor="accent2" w:themeShade="BF"/>
    </w:rPr>
  </w:style>
  <w:style w:type="paragraph" w:styleId="Heading6">
    <w:name w:val="heading 6"/>
    <w:basedOn w:val="Normal"/>
    <w:next w:val="Normal"/>
    <w:link w:val="Heading6Char"/>
    <w:uiPriority w:val="9"/>
    <w:semiHidden/>
    <w:unhideWhenUsed/>
    <w:qFormat/>
    <w:rsid w:val="00BC1F0E"/>
    <w:pPr>
      <w:spacing w:before="200" w:after="100" w:line="240" w:lineRule="auto"/>
      <w:contextualSpacing/>
      <w:outlineLvl w:val="5"/>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BC1F0E"/>
    <w:pPr>
      <w:spacing w:before="200" w:after="100" w:line="240" w:lineRule="auto"/>
      <w:contextualSpacing/>
      <w:outlineLvl w:val="6"/>
    </w:pPr>
    <w:rPr>
      <w:rFonts w:asciiTheme="majorHAnsi" w:eastAsiaTheme="majorEastAsia" w:hAnsiTheme="majorHAnsi" w:cstheme="majorBidi"/>
      <w:color w:val="C45911" w:themeColor="accent2" w:themeShade="BF"/>
    </w:rPr>
  </w:style>
  <w:style w:type="paragraph" w:styleId="Heading8">
    <w:name w:val="heading 8"/>
    <w:basedOn w:val="Normal"/>
    <w:next w:val="Normal"/>
    <w:link w:val="Heading8Char"/>
    <w:uiPriority w:val="9"/>
    <w:semiHidden/>
    <w:unhideWhenUsed/>
    <w:qFormat/>
    <w:rsid w:val="00BC1F0E"/>
    <w:pPr>
      <w:spacing w:before="200" w:after="100" w:line="240" w:lineRule="auto"/>
      <w:contextualSpacing/>
      <w:outlineLvl w:val="7"/>
    </w:pPr>
    <w:rPr>
      <w:rFonts w:asciiTheme="majorHAnsi" w:eastAsiaTheme="majorEastAsia" w:hAnsiTheme="majorHAnsi" w:cstheme="majorBidi"/>
      <w:color w:val="4472C4" w:themeColor="accent1"/>
    </w:rPr>
  </w:style>
  <w:style w:type="paragraph" w:styleId="Heading9">
    <w:name w:val="heading 9"/>
    <w:basedOn w:val="Normal"/>
    <w:next w:val="Normal"/>
    <w:link w:val="Heading9Char"/>
    <w:uiPriority w:val="9"/>
    <w:semiHidden/>
    <w:unhideWhenUsed/>
    <w:qFormat/>
    <w:rsid w:val="00BC1F0E"/>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F0E"/>
    <w:pPr>
      <w:tabs>
        <w:tab w:val="center" w:pos="4680"/>
        <w:tab w:val="right" w:pos="9360"/>
      </w:tabs>
    </w:pPr>
  </w:style>
  <w:style w:type="character" w:customStyle="1" w:styleId="HeaderChar">
    <w:name w:val="Header Char"/>
    <w:basedOn w:val="DefaultParagraphFont"/>
    <w:link w:val="Header"/>
    <w:uiPriority w:val="99"/>
    <w:rsid w:val="00BC1F0E"/>
  </w:style>
  <w:style w:type="paragraph" w:styleId="Footer">
    <w:name w:val="footer"/>
    <w:basedOn w:val="Normal"/>
    <w:link w:val="FooterChar"/>
    <w:uiPriority w:val="99"/>
    <w:unhideWhenUsed/>
    <w:rsid w:val="00BC1F0E"/>
    <w:pPr>
      <w:tabs>
        <w:tab w:val="center" w:pos="4680"/>
        <w:tab w:val="right" w:pos="9360"/>
      </w:tabs>
    </w:pPr>
  </w:style>
  <w:style w:type="character" w:customStyle="1" w:styleId="FooterChar">
    <w:name w:val="Footer Char"/>
    <w:basedOn w:val="DefaultParagraphFont"/>
    <w:link w:val="Footer"/>
    <w:uiPriority w:val="99"/>
    <w:rsid w:val="00BC1F0E"/>
  </w:style>
  <w:style w:type="character" w:customStyle="1" w:styleId="Heading1Char">
    <w:name w:val="Heading 1 Char"/>
    <w:basedOn w:val="DefaultParagraphFont"/>
    <w:link w:val="Heading1"/>
    <w:uiPriority w:val="9"/>
    <w:rsid w:val="00BC1F0E"/>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BC1F0E"/>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BC1F0E"/>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BC1F0E"/>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BC1F0E"/>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BC1F0E"/>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BC1F0E"/>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BC1F0E"/>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BC1F0E"/>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BC1F0E"/>
    <w:rPr>
      <w:b/>
      <w:bCs/>
      <w:color w:val="C45911" w:themeColor="accent2" w:themeShade="BF"/>
      <w:sz w:val="18"/>
      <w:szCs w:val="18"/>
    </w:rPr>
  </w:style>
  <w:style w:type="paragraph" w:styleId="Title">
    <w:name w:val="Title"/>
    <w:basedOn w:val="Normal"/>
    <w:next w:val="Normal"/>
    <w:link w:val="TitleChar"/>
    <w:uiPriority w:val="10"/>
    <w:qFormat/>
    <w:rsid w:val="00BC1F0E"/>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BC1F0E"/>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BC1F0E"/>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BC1F0E"/>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BC1F0E"/>
    <w:rPr>
      <w:b/>
      <w:bCs/>
      <w:spacing w:val="0"/>
    </w:rPr>
  </w:style>
  <w:style w:type="character" w:styleId="Emphasis">
    <w:name w:val="Emphasis"/>
    <w:uiPriority w:val="20"/>
    <w:qFormat/>
    <w:rsid w:val="00BC1F0E"/>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BC1F0E"/>
    <w:pPr>
      <w:spacing w:after="0" w:line="240" w:lineRule="auto"/>
    </w:pPr>
  </w:style>
  <w:style w:type="paragraph" w:styleId="ListParagraph">
    <w:name w:val="List Paragraph"/>
    <w:basedOn w:val="Normal"/>
    <w:uiPriority w:val="34"/>
    <w:qFormat/>
    <w:rsid w:val="00BC1F0E"/>
    <w:pPr>
      <w:ind w:left="1440" w:hanging="360"/>
      <w:contextualSpacing/>
    </w:pPr>
  </w:style>
  <w:style w:type="paragraph" w:styleId="Quote">
    <w:name w:val="Quote"/>
    <w:basedOn w:val="Normal"/>
    <w:next w:val="Normal"/>
    <w:link w:val="QuoteChar"/>
    <w:uiPriority w:val="29"/>
    <w:qFormat/>
    <w:rsid w:val="00BC1F0E"/>
    <w:rPr>
      <w:b/>
      <w:i/>
      <w:color w:val="ED7D31" w:themeColor="accent2"/>
      <w:sz w:val="24"/>
    </w:rPr>
  </w:style>
  <w:style w:type="character" w:customStyle="1" w:styleId="QuoteChar">
    <w:name w:val="Quote Char"/>
    <w:basedOn w:val="DefaultParagraphFont"/>
    <w:link w:val="Quote"/>
    <w:uiPriority w:val="29"/>
    <w:rsid w:val="00BC1F0E"/>
    <w:rPr>
      <w:b/>
      <w:i/>
      <w:iCs/>
      <w:color w:val="ED7D31" w:themeColor="accent2"/>
      <w:sz w:val="24"/>
      <w:szCs w:val="21"/>
    </w:rPr>
  </w:style>
  <w:style w:type="paragraph" w:styleId="IntenseQuote">
    <w:name w:val="Intense Quote"/>
    <w:basedOn w:val="Normal"/>
    <w:next w:val="Normal"/>
    <w:link w:val="IntenseQuoteChar"/>
    <w:uiPriority w:val="30"/>
    <w:qFormat/>
    <w:rsid w:val="00BC1F0E"/>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BC1F0E"/>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C1F0E"/>
    <w:rPr>
      <w:rFonts w:asciiTheme="majorHAnsi" w:eastAsiaTheme="majorEastAsia" w:hAnsiTheme="majorHAnsi" w:cstheme="majorBidi"/>
      <w:b/>
      <w:i/>
      <w:color w:val="4472C4" w:themeColor="accent1"/>
    </w:rPr>
  </w:style>
  <w:style w:type="character" w:styleId="IntenseEmphasis">
    <w:name w:val="Intense Emphasis"/>
    <w:uiPriority w:val="21"/>
    <w:qFormat/>
    <w:rsid w:val="00BC1F0E"/>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C1F0E"/>
    <w:rPr>
      <w:i/>
      <w:iCs/>
      <w:smallCaps/>
      <w:color w:val="ED7D31" w:themeColor="accent2"/>
      <w:u w:color="ED7D31" w:themeColor="accent2"/>
    </w:rPr>
  </w:style>
  <w:style w:type="character" w:styleId="IntenseReference">
    <w:name w:val="Intense Reference"/>
    <w:uiPriority w:val="32"/>
    <w:qFormat/>
    <w:rsid w:val="00BC1F0E"/>
    <w:rPr>
      <w:b/>
      <w:bCs/>
      <w:i/>
      <w:iCs/>
      <w:smallCaps/>
      <w:color w:val="ED7D31" w:themeColor="accent2"/>
      <w:u w:color="ED7D31" w:themeColor="accent2"/>
    </w:rPr>
  </w:style>
  <w:style w:type="character" w:styleId="BookTitle">
    <w:name w:val="Book Title"/>
    <w:uiPriority w:val="33"/>
    <w:qFormat/>
    <w:rsid w:val="00BC1F0E"/>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BC1F0E"/>
    <w:pPr>
      <w:outlineLvl w:val="9"/>
    </w:pPr>
  </w:style>
  <w:style w:type="character" w:styleId="Hyperlink">
    <w:name w:val="Hyperlink"/>
    <w:basedOn w:val="DefaultParagraphFont"/>
    <w:uiPriority w:val="99"/>
    <w:unhideWhenUsed/>
    <w:rsid w:val="006E7E00"/>
    <w:rPr>
      <w:color w:val="0563C1" w:themeColor="hyperlink"/>
      <w:u w:val="single"/>
    </w:rPr>
  </w:style>
  <w:style w:type="character" w:styleId="CommentReference">
    <w:name w:val="annotation reference"/>
    <w:basedOn w:val="DefaultParagraphFont"/>
    <w:uiPriority w:val="99"/>
    <w:semiHidden/>
    <w:unhideWhenUsed/>
    <w:rsid w:val="00836524"/>
    <w:rPr>
      <w:sz w:val="16"/>
      <w:szCs w:val="16"/>
    </w:rPr>
  </w:style>
  <w:style w:type="paragraph" w:styleId="CommentText">
    <w:name w:val="annotation text"/>
    <w:basedOn w:val="Normal"/>
    <w:link w:val="CommentTextChar"/>
    <w:uiPriority w:val="99"/>
    <w:unhideWhenUsed/>
    <w:rsid w:val="00836524"/>
    <w:pPr>
      <w:spacing w:line="240" w:lineRule="auto"/>
    </w:pPr>
    <w:rPr>
      <w:sz w:val="20"/>
      <w:szCs w:val="20"/>
    </w:rPr>
  </w:style>
  <w:style w:type="character" w:customStyle="1" w:styleId="CommentTextChar">
    <w:name w:val="Comment Text Char"/>
    <w:basedOn w:val="DefaultParagraphFont"/>
    <w:link w:val="CommentText"/>
    <w:uiPriority w:val="99"/>
    <w:rsid w:val="0083652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36524"/>
    <w:rPr>
      <w:b/>
      <w:bCs/>
    </w:rPr>
  </w:style>
  <w:style w:type="character" w:customStyle="1" w:styleId="CommentSubjectChar">
    <w:name w:val="Comment Subject Char"/>
    <w:basedOn w:val="CommentTextChar"/>
    <w:link w:val="CommentSubject"/>
    <w:uiPriority w:val="99"/>
    <w:semiHidden/>
    <w:rsid w:val="00836524"/>
    <w:rPr>
      <w:rFonts w:eastAsiaTheme="minorHAnsi"/>
      <w:b/>
      <w:bCs/>
      <w:sz w:val="20"/>
      <w:szCs w:val="20"/>
    </w:rPr>
  </w:style>
  <w:style w:type="paragraph" w:styleId="BalloonText">
    <w:name w:val="Balloon Text"/>
    <w:basedOn w:val="Normal"/>
    <w:link w:val="BalloonTextChar"/>
    <w:uiPriority w:val="99"/>
    <w:semiHidden/>
    <w:unhideWhenUsed/>
    <w:rsid w:val="00710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FA"/>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710FFA"/>
    <w:rPr>
      <w:color w:val="954F72" w:themeColor="followedHyperlink"/>
      <w:u w:val="single"/>
    </w:rPr>
  </w:style>
  <w:style w:type="paragraph" w:styleId="Revision">
    <w:name w:val="Revision"/>
    <w:hidden/>
    <w:uiPriority w:val="99"/>
    <w:semiHidden/>
    <w:rsid w:val="00B01820"/>
    <w:pPr>
      <w:spacing w:after="0" w:line="240" w:lineRule="auto"/>
    </w:pPr>
    <w:rPr>
      <w:rFonts w:eastAsiaTheme="minorHAnsi"/>
    </w:rPr>
  </w:style>
  <w:style w:type="character" w:styleId="UnresolvedMention">
    <w:name w:val="Unresolved Mention"/>
    <w:basedOn w:val="DefaultParagraphFont"/>
    <w:uiPriority w:val="99"/>
    <w:semiHidden/>
    <w:unhideWhenUsed/>
    <w:rsid w:val="000A6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252">
      <w:bodyDiv w:val="1"/>
      <w:marLeft w:val="0"/>
      <w:marRight w:val="0"/>
      <w:marTop w:val="0"/>
      <w:marBottom w:val="0"/>
      <w:divBdr>
        <w:top w:val="none" w:sz="0" w:space="0" w:color="auto"/>
        <w:left w:val="none" w:sz="0" w:space="0" w:color="auto"/>
        <w:bottom w:val="none" w:sz="0" w:space="0" w:color="auto"/>
        <w:right w:val="none" w:sz="0" w:space="0" w:color="auto"/>
      </w:divBdr>
    </w:div>
    <w:div w:id="64902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oremus.org/?ql=509665345" TargetMode="External"/><Relationship Id="rId13" Type="http://schemas.openxmlformats.org/officeDocument/2006/relationships/hyperlink" Target="https://www.methodist.org.uk/our-faith/worship/singing-the-faith-plus/posts/if-we-claim-to-love-our-neighbour-website-only/" TargetMode="External"/><Relationship Id="rId18" Type="http://schemas.openxmlformats.org/officeDocument/2006/relationships/hyperlink" Target="https://medtruth.com/articles/health-features/how-to-be-a-chronic-illness-all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methodist.org.uk/our-faith/worship/singing-the-faith-plus/hymns/i-will-speak-out-for-those-who-have-no-voices-stf-702/" TargetMode="External"/><Relationship Id="rId12" Type="http://schemas.openxmlformats.org/officeDocument/2006/relationships/hyperlink" Target="https://www.methodist.org.uk/our-faith/worship/singing-the-faith-plus/hymns/before-i-take-the-body-of-my-lord-stf-575/" TargetMode="External"/><Relationship Id="rId17" Type="http://schemas.openxmlformats.org/officeDocument/2006/relationships/hyperlink" Target="http://bible.oremus.org/?ql=50966566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methodist.org.uk/our-faith/worship/singing-the-faith-plus/hymns/we-do-not-hope-to-ease-our-minds-stf-71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hodist.org.uk/our-faith/worship/singing-the-faith-plus/hymns/let-love-be-real-in-giving-and-receiving-stf-615/"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bible.oremus.org/?ql=509665604" TargetMode="External"/><Relationship Id="rId23" Type="http://schemas.openxmlformats.org/officeDocument/2006/relationships/footer" Target="footer2.xml"/><Relationship Id="rId10" Type="http://schemas.openxmlformats.org/officeDocument/2006/relationships/hyperlink" Target="https://www.methodist.org.uk/our-faith/worship/singing-the-faith-plus/hymns/brother-sister-let-me-serve-you-stf-611/" TargetMode="External"/><Relationship Id="rId19" Type="http://schemas.openxmlformats.org/officeDocument/2006/relationships/hyperlink" Target="https://www.patheos.com/blogs/socialjesus/2019/08/jesus-marginalized-communities/" TargetMode="External"/><Relationship Id="rId4" Type="http://schemas.openxmlformats.org/officeDocument/2006/relationships/webSettings" Target="webSettings.xml"/><Relationship Id="rId9" Type="http://schemas.openxmlformats.org/officeDocument/2006/relationships/hyperlink" Target="http://bible.oremus.org/?ql=509665392" TargetMode="External"/><Relationship Id="rId14" Type="http://schemas.openxmlformats.org/officeDocument/2006/relationships/hyperlink" Target="https://www.methodist.org.uk/our-faith/worship/singing-the-faith-plus/hymns/god-of-justice-saviour-to-all-stf-699/"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pardR\Dropbox\JPIT%20Members%20Docs\Rachel%20Lampard\Justice%20project\Communications\Design\Walking%20with%20Micah%20wor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Walking with Micah word1</Template>
  <TotalTime>21</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Lampard</dc:creator>
  <cp:keywords/>
  <dc:description/>
  <cp:lastModifiedBy>Laurence Wareing</cp:lastModifiedBy>
  <cp:revision>4</cp:revision>
  <dcterms:created xsi:type="dcterms:W3CDTF">2022-01-20T07:45:00Z</dcterms:created>
  <dcterms:modified xsi:type="dcterms:W3CDTF">2022-01-20T08:03:00Z</dcterms:modified>
</cp:coreProperties>
</file>